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9068" w14:textId="77777777" w:rsidR="00B82B47" w:rsidRPr="00CC031C" w:rsidRDefault="00D80E80" w:rsidP="00613FB5">
      <w:pPr>
        <w:pStyle w:val="Lijstalinea"/>
        <w:spacing w:line="276" w:lineRule="auto"/>
        <w:ind w:left="0"/>
        <w:rPr>
          <w:b/>
          <w:bCs/>
        </w:rPr>
      </w:pPr>
      <w:r w:rsidRPr="00CC031C">
        <w:rPr>
          <w:b/>
          <w:bCs/>
        </w:rPr>
        <w:t>Introduction</w:t>
      </w:r>
    </w:p>
    <w:p w14:paraId="03DD126B" w14:textId="285B11CC" w:rsidR="00D80E80" w:rsidRPr="00CC031C" w:rsidRDefault="00D80E80" w:rsidP="00613FB5">
      <w:pPr>
        <w:pStyle w:val="Lijstalinea"/>
        <w:spacing w:line="276" w:lineRule="auto"/>
        <w:ind w:left="0"/>
        <w:rPr>
          <w:b/>
          <w:bCs/>
        </w:rPr>
      </w:pPr>
      <w:r w:rsidRPr="00CC031C">
        <w:rPr>
          <w:b/>
          <w:bCs/>
        </w:rPr>
        <w:t xml:space="preserve"> </w:t>
      </w:r>
    </w:p>
    <w:p w14:paraId="77FA5D0F" w14:textId="5F7F171B" w:rsidR="002F1D03" w:rsidRPr="00CC031C" w:rsidRDefault="002653C5" w:rsidP="00613FB5">
      <w:pPr>
        <w:pStyle w:val="Lijstalinea"/>
        <w:spacing w:line="276" w:lineRule="auto"/>
        <w:ind w:left="0"/>
      </w:pPr>
      <w:r w:rsidRPr="00CC031C">
        <w:t xml:space="preserve">With </w:t>
      </w:r>
      <w:r w:rsidR="00D3030A" w:rsidRPr="002B5008">
        <w:t xml:space="preserve">Decision </w:t>
      </w:r>
      <w:r w:rsidR="00D3030A" w:rsidRPr="0044489A">
        <w:t xml:space="preserve">No. </w:t>
      </w:r>
      <w:r w:rsidR="00EB694B" w:rsidRPr="0044489A">
        <w:t>5666 of</w:t>
      </w:r>
      <w:r w:rsidR="00D80E80" w:rsidRPr="0044489A">
        <w:t xml:space="preserve"> 2 March 2021</w:t>
      </w:r>
      <w:r w:rsidR="00D80E80" w:rsidRPr="002B5008">
        <w:t>, the</w:t>
      </w:r>
      <w:r w:rsidR="00D80E80" w:rsidRPr="00CC031C">
        <w:t xml:space="preserve"> Italian Supreme Court </w:t>
      </w:r>
      <w:r w:rsidR="00EB694B" w:rsidRPr="00CC031C">
        <w:t xml:space="preserve">clarified </w:t>
      </w:r>
      <w:r w:rsidR="00B82B47" w:rsidRPr="00CC031C">
        <w:t>how to</w:t>
      </w:r>
      <w:r w:rsidR="003C299E" w:rsidRPr="00CC031C">
        <w:t xml:space="preserve"> </w:t>
      </w:r>
      <w:r w:rsidR="00B82B47" w:rsidRPr="00CC031C">
        <w:t xml:space="preserve">apply the </w:t>
      </w:r>
      <w:r w:rsidR="0078109D">
        <w:t>reasonable royalty and the gross</w:t>
      </w:r>
      <w:r w:rsidR="0078109D" w:rsidRPr="0078109D">
        <w:t xml:space="preserve"> operating margin (incremental) </w:t>
      </w:r>
      <w:r w:rsidR="0078109D">
        <w:t xml:space="preserve">criteria </w:t>
      </w:r>
      <w:r w:rsidR="00D3030A" w:rsidRPr="00CC031C">
        <w:t>to calculate</w:t>
      </w:r>
      <w:r w:rsidR="00143AD3" w:rsidRPr="00CC031C">
        <w:t xml:space="preserve"> </w:t>
      </w:r>
      <w:r w:rsidR="00465F25" w:rsidRPr="00CC031C">
        <w:t xml:space="preserve">damages </w:t>
      </w:r>
      <w:r w:rsidR="002F547D" w:rsidRPr="00CC031C">
        <w:t>in</w:t>
      </w:r>
      <w:r w:rsidR="00833F1A">
        <w:t xml:space="preserve"> patent</w:t>
      </w:r>
      <w:r w:rsidR="002F547D" w:rsidRPr="00CC031C">
        <w:t xml:space="preserve"> </w:t>
      </w:r>
      <w:r w:rsidR="006E089B" w:rsidRPr="00CC031C">
        <w:t>infringement proceedings</w:t>
      </w:r>
      <w:r w:rsidR="00CC6879" w:rsidRPr="00CC031C">
        <w:t xml:space="preserve"> </w:t>
      </w:r>
      <w:r w:rsidR="00D3030A" w:rsidRPr="00CC031C">
        <w:t>under Art.</w:t>
      </w:r>
      <w:r w:rsidR="00CC6879" w:rsidRPr="00CC031C">
        <w:t xml:space="preserve"> 125 of the Italian </w:t>
      </w:r>
      <w:r w:rsidR="00D3030A" w:rsidRPr="00CC031C">
        <w:t xml:space="preserve">Intellectual Property </w:t>
      </w:r>
      <w:r w:rsidR="00CC6879" w:rsidRPr="00CC031C">
        <w:t>Code (“</w:t>
      </w:r>
      <w:r w:rsidR="00CC6879" w:rsidRPr="00CC031C">
        <w:rPr>
          <w:b/>
          <w:bCs/>
        </w:rPr>
        <w:t>IPC</w:t>
      </w:r>
      <w:r w:rsidR="00CC6879" w:rsidRPr="00CC031C">
        <w:t>”)</w:t>
      </w:r>
      <w:r w:rsidR="006470E9" w:rsidRPr="00CC031C">
        <w:t xml:space="preserve">, </w:t>
      </w:r>
      <w:r w:rsidR="00B82B47" w:rsidRPr="00CC031C">
        <w:t xml:space="preserve">which implements </w:t>
      </w:r>
      <w:r w:rsidR="00D3030A" w:rsidRPr="00CC031C">
        <w:t xml:space="preserve">Art. </w:t>
      </w:r>
      <w:r w:rsidR="00B82B47" w:rsidRPr="00CC031C">
        <w:t>13 of the Enforcement Directive (Directive 2004/48/EC)</w:t>
      </w:r>
      <w:r w:rsidR="003464FA" w:rsidRPr="00CC031C">
        <w:t xml:space="preserve">. </w:t>
      </w:r>
    </w:p>
    <w:p w14:paraId="4209DE71" w14:textId="77777777" w:rsidR="0044489A" w:rsidRPr="00E122E2" w:rsidRDefault="0044489A" w:rsidP="00613FB5">
      <w:pPr>
        <w:pStyle w:val="Lijstalinea"/>
        <w:spacing w:line="276" w:lineRule="auto"/>
        <w:ind w:left="0"/>
        <w:rPr>
          <w:lang w:val="en-US"/>
        </w:rPr>
      </w:pPr>
    </w:p>
    <w:p w14:paraId="02F15691" w14:textId="6B9EB16F" w:rsidR="00530D48" w:rsidRPr="00CC031C" w:rsidRDefault="002F547D" w:rsidP="00613FB5">
      <w:pPr>
        <w:pStyle w:val="Lijstalinea"/>
        <w:spacing w:line="276" w:lineRule="auto"/>
        <w:ind w:left="0"/>
        <w:rPr>
          <w:b/>
          <w:bCs/>
        </w:rPr>
      </w:pPr>
      <w:r w:rsidRPr="00CC031C">
        <w:rPr>
          <w:b/>
          <w:bCs/>
        </w:rPr>
        <w:t>Summary</w:t>
      </w:r>
      <w:r w:rsidR="006E089B" w:rsidRPr="00CC031C">
        <w:rPr>
          <w:b/>
          <w:bCs/>
        </w:rPr>
        <w:t xml:space="preserve"> of the case </w:t>
      </w:r>
    </w:p>
    <w:p w14:paraId="65D9593B" w14:textId="77777777" w:rsidR="00B82B47" w:rsidRPr="00CC031C" w:rsidRDefault="00B82B47" w:rsidP="00613FB5">
      <w:pPr>
        <w:pStyle w:val="Lijstalinea"/>
        <w:spacing w:line="276" w:lineRule="auto"/>
        <w:ind w:left="0"/>
      </w:pPr>
    </w:p>
    <w:p w14:paraId="6E61B85B" w14:textId="77777777" w:rsidR="00356EE9" w:rsidRDefault="005A10F8" w:rsidP="00613FB5">
      <w:pPr>
        <w:pStyle w:val="Lijstalinea"/>
        <w:spacing w:line="276" w:lineRule="auto"/>
        <w:ind w:left="0"/>
      </w:pPr>
      <w:proofErr w:type="spellStart"/>
      <w:r w:rsidRPr="00CC031C">
        <w:t>Cappellotto</w:t>
      </w:r>
      <w:proofErr w:type="spellEnd"/>
      <w:r w:rsidR="006E089B" w:rsidRPr="00CC031C">
        <w:t xml:space="preserve"> S.p.A.</w:t>
      </w:r>
      <w:r w:rsidR="007006E1" w:rsidRPr="00CC031C">
        <w:t>,</w:t>
      </w:r>
      <w:r w:rsidR="006E089B" w:rsidRPr="00CC031C">
        <w:t xml:space="preserve"> </w:t>
      </w:r>
      <w:r w:rsidRPr="00CC031C">
        <w:t>an I</w:t>
      </w:r>
      <w:r w:rsidRPr="00844DBF">
        <w:t xml:space="preserve">talian </w:t>
      </w:r>
      <w:r w:rsidR="0018187F" w:rsidRPr="00844DBF">
        <w:t>manufacturer</w:t>
      </w:r>
      <w:r w:rsidR="00AB775F" w:rsidRPr="00844DBF">
        <w:t xml:space="preserve"> of</w:t>
      </w:r>
      <w:r w:rsidR="00850901" w:rsidRPr="00844DBF">
        <w:t xml:space="preserve"> </w:t>
      </w:r>
      <w:r w:rsidR="00850901" w:rsidRPr="00CC031C">
        <w:t>truck chassis mounted equipment</w:t>
      </w:r>
      <w:r w:rsidR="00A06949" w:rsidRPr="00CC031C">
        <w:t xml:space="preserve"> for</w:t>
      </w:r>
      <w:r w:rsidR="00850901" w:rsidRPr="00CC031C">
        <w:t xml:space="preserve"> </w:t>
      </w:r>
      <w:r w:rsidR="00A06949" w:rsidRPr="00CC031C">
        <w:t>sewer cleaning</w:t>
      </w:r>
      <w:r w:rsidR="00064883" w:rsidRPr="00CC031C">
        <w:t xml:space="preserve">, </w:t>
      </w:r>
      <w:r w:rsidR="00C0165B" w:rsidRPr="00CC031C">
        <w:t xml:space="preserve">is the owner of </w:t>
      </w:r>
      <w:r w:rsidR="00692975" w:rsidRPr="00CC031C">
        <w:t>European</w:t>
      </w:r>
      <w:r w:rsidR="00C0165B" w:rsidRPr="00CC031C">
        <w:t xml:space="preserve"> patent no. 1050634, titled “Apparatus for unwinding/rewinding a suction hose for draining cesspools, septic tanks and sewers in general”</w:t>
      </w:r>
      <w:r w:rsidR="00692975" w:rsidRPr="00CC031C">
        <w:t>.</w:t>
      </w:r>
    </w:p>
    <w:p w14:paraId="2999C144" w14:textId="3E877A0A" w:rsidR="00FD3762" w:rsidRPr="00CC031C" w:rsidRDefault="0052404B" w:rsidP="00613FB5">
      <w:pPr>
        <w:pStyle w:val="Lijstalinea"/>
        <w:spacing w:line="276" w:lineRule="auto"/>
        <w:ind w:left="0"/>
      </w:pPr>
      <w:r w:rsidRPr="00CC031C">
        <w:t xml:space="preserve"> </w:t>
      </w:r>
    </w:p>
    <w:p w14:paraId="4830F104" w14:textId="59A35D80" w:rsidR="00A83FF8" w:rsidRPr="00CC031C" w:rsidRDefault="003627A5" w:rsidP="00613FB5">
      <w:pPr>
        <w:pStyle w:val="Lijstalinea"/>
        <w:spacing w:line="276" w:lineRule="auto"/>
        <w:ind w:left="0"/>
      </w:pPr>
      <w:r w:rsidRPr="00CC031C">
        <w:t xml:space="preserve">In July 2005, </w:t>
      </w:r>
      <w:proofErr w:type="spellStart"/>
      <w:r w:rsidR="00685527" w:rsidRPr="00CC031C">
        <w:t>Cappellotto</w:t>
      </w:r>
      <w:proofErr w:type="spellEnd"/>
      <w:r w:rsidR="00685527" w:rsidRPr="00CC031C">
        <w:t xml:space="preserve"> </w:t>
      </w:r>
      <w:r w:rsidR="007006E1" w:rsidRPr="00CC031C">
        <w:t>started</w:t>
      </w:r>
      <w:r w:rsidR="00AB775F" w:rsidRPr="00CC031C">
        <w:t xml:space="preserve"> </w:t>
      </w:r>
      <w:r w:rsidR="00AB775F" w:rsidRPr="00844DBF">
        <w:t xml:space="preserve">proceedings against </w:t>
      </w:r>
      <w:r w:rsidR="000E2416" w:rsidRPr="00844DBF">
        <w:t xml:space="preserve">Farid </w:t>
      </w:r>
      <w:proofErr w:type="spellStart"/>
      <w:r w:rsidR="000E2416" w:rsidRPr="00844DBF">
        <w:t>Industrie</w:t>
      </w:r>
      <w:proofErr w:type="spellEnd"/>
      <w:r w:rsidR="000E2416" w:rsidRPr="00844DBF">
        <w:t xml:space="preserve"> </w:t>
      </w:r>
      <w:r w:rsidR="006E089B" w:rsidRPr="00844DBF">
        <w:t xml:space="preserve">S.p.A. </w:t>
      </w:r>
      <w:r w:rsidR="000E2416" w:rsidRPr="00844DBF">
        <w:t xml:space="preserve">before the Court of Turin claiming that </w:t>
      </w:r>
      <w:r w:rsidR="00AB775F" w:rsidRPr="00844DBF">
        <w:t xml:space="preserve">the </w:t>
      </w:r>
      <w:r w:rsidR="00ED5973" w:rsidRPr="00844DBF">
        <w:t xml:space="preserve">“Canal Jet” </w:t>
      </w:r>
      <w:r w:rsidR="0052404B" w:rsidRPr="00844DBF">
        <w:t xml:space="preserve">truck </w:t>
      </w:r>
      <w:r w:rsidR="0018187F" w:rsidRPr="00844DBF">
        <w:t>manufactured</w:t>
      </w:r>
      <w:r w:rsidR="0052404B" w:rsidRPr="00844DBF">
        <w:t xml:space="preserve"> by Farid </w:t>
      </w:r>
      <w:proofErr w:type="spellStart"/>
      <w:r w:rsidR="0052404B" w:rsidRPr="00CC031C">
        <w:t>Industrie</w:t>
      </w:r>
      <w:proofErr w:type="spellEnd"/>
      <w:r w:rsidR="0052404B" w:rsidRPr="00CC031C">
        <w:t xml:space="preserve"> </w:t>
      </w:r>
      <w:r w:rsidR="00ED5973" w:rsidRPr="00CC031C">
        <w:t>infringed</w:t>
      </w:r>
      <w:r w:rsidR="00685527" w:rsidRPr="00CC031C">
        <w:t xml:space="preserve"> the Italian portion of </w:t>
      </w:r>
      <w:proofErr w:type="spellStart"/>
      <w:r w:rsidR="00AB775F" w:rsidRPr="00CC031C">
        <w:t>Cap</w:t>
      </w:r>
      <w:r w:rsidR="00356EE9">
        <w:t>p</w:t>
      </w:r>
      <w:r w:rsidR="00AB775F" w:rsidRPr="00CC031C">
        <w:t>ell</w:t>
      </w:r>
      <w:r w:rsidR="00356EE9">
        <w:t>o</w:t>
      </w:r>
      <w:r w:rsidR="00AB775F" w:rsidRPr="00CC031C">
        <w:t>t</w:t>
      </w:r>
      <w:r w:rsidR="0052404B" w:rsidRPr="00CC031C">
        <w:t>t</w:t>
      </w:r>
      <w:r w:rsidR="00AB775F" w:rsidRPr="00CC031C">
        <w:t>o’s</w:t>
      </w:r>
      <w:proofErr w:type="spellEnd"/>
      <w:r w:rsidR="00AB775F" w:rsidRPr="00CC031C">
        <w:t xml:space="preserve"> </w:t>
      </w:r>
      <w:r w:rsidR="0052404B" w:rsidRPr="00CC031C">
        <w:t>patent</w:t>
      </w:r>
      <w:r w:rsidR="00ED5973" w:rsidRPr="00CC031C">
        <w:t>.</w:t>
      </w:r>
    </w:p>
    <w:p w14:paraId="05AE4529" w14:textId="77777777" w:rsidR="00FD3762" w:rsidRPr="00CC031C" w:rsidRDefault="00FD3762" w:rsidP="00613FB5">
      <w:pPr>
        <w:pStyle w:val="Lijstalinea"/>
        <w:spacing w:line="276" w:lineRule="auto"/>
        <w:ind w:left="0"/>
      </w:pPr>
    </w:p>
    <w:p w14:paraId="257115B9" w14:textId="145A2E09" w:rsidR="00A83FF8" w:rsidRPr="00CC031C" w:rsidRDefault="00B82B47" w:rsidP="00613FB5">
      <w:pPr>
        <w:pStyle w:val="Lijstalinea"/>
        <w:spacing w:line="276" w:lineRule="auto"/>
        <w:ind w:left="0"/>
      </w:pPr>
      <w:r w:rsidRPr="00CC031C">
        <w:t>During</w:t>
      </w:r>
      <w:r w:rsidR="004730FE" w:rsidRPr="00CC031C">
        <w:t xml:space="preserve"> </w:t>
      </w:r>
      <w:r w:rsidR="00E01E26" w:rsidRPr="00CC031C">
        <w:t xml:space="preserve">the </w:t>
      </w:r>
      <w:r w:rsidR="004730FE" w:rsidRPr="00CC031C">
        <w:t>proceeding</w:t>
      </w:r>
      <w:r w:rsidR="00392529" w:rsidRPr="00CC031C">
        <w:t xml:space="preserve">s, </w:t>
      </w:r>
      <w:r w:rsidR="00CE65A2" w:rsidRPr="00CC031C">
        <w:t>following opposition before the</w:t>
      </w:r>
      <w:r w:rsidR="00392529" w:rsidRPr="00CC031C">
        <w:t xml:space="preserve"> </w:t>
      </w:r>
      <w:r w:rsidR="00AB775F" w:rsidRPr="00CC031C">
        <w:t>EPO</w:t>
      </w:r>
      <w:r w:rsidR="00CE65A2" w:rsidRPr="00CC031C">
        <w:t xml:space="preserve">, the </w:t>
      </w:r>
      <w:r w:rsidR="0052404B" w:rsidRPr="00CC031C">
        <w:t xml:space="preserve">patent </w:t>
      </w:r>
      <w:r w:rsidR="00CE65A2" w:rsidRPr="00CC031C">
        <w:t>was maintained</w:t>
      </w:r>
      <w:r w:rsidR="004730FE" w:rsidRPr="00CC031C">
        <w:t xml:space="preserve"> in an amended form and </w:t>
      </w:r>
      <w:proofErr w:type="spellStart"/>
      <w:r w:rsidR="00392529" w:rsidRPr="00CC031C">
        <w:t>Cappellotto</w:t>
      </w:r>
      <w:proofErr w:type="spellEnd"/>
      <w:r w:rsidR="004730FE" w:rsidRPr="00CC031C">
        <w:t xml:space="preserve"> filed </w:t>
      </w:r>
      <w:r w:rsidR="0052404B" w:rsidRPr="00CC031C">
        <w:t xml:space="preserve">the Italian translation of the amended claims </w:t>
      </w:r>
      <w:r w:rsidR="004730FE" w:rsidRPr="00CC031C">
        <w:t>with the Italian Patent Office</w:t>
      </w:r>
      <w:r w:rsidR="00A06949" w:rsidRPr="00CC031C">
        <w:t xml:space="preserve">. </w:t>
      </w:r>
      <w:r w:rsidR="00CC6879" w:rsidRPr="00CC031C">
        <w:t>W</w:t>
      </w:r>
      <w:r w:rsidR="00C11F73" w:rsidRPr="00CC031C">
        <w:t>ith a</w:t>
      </w:r>
      <w:r w:rsidR="007006E1" w:rsidRPr="00CC031C">
        <w:t>n</w:t>
      </w:r>
      <w:r w:rsidR="00AB775F" w:rsidRPr="00CC031C">
        <w:t xml:space="preserve"> </w:t>
      </w:r>
      <w:r w:rsidR="00C11F73" w:rsidRPr="0044489A">
        <w:t>interlocutory</w:t>
      </w:r>
      <w:r w:rsidR="00C11F73" w:rsidRPr="00CC031C">
        <w:t xml:space="preserve"> decision</w:t>
      </w:r>
      <w:r w:rsidR="0032048C" w:rsidRPr="00CC031C">
        <w:t xml:space="preserve"> in 2013</w:t>
      </w:r>
      <w:r w:rsidR="00C11F73" w:rsidRPr="00CC031C">
        <w:t>, t</w:t>
      </w:r>
      <w:r w:rsidR="00392529" w:rsidRPr="00CC031C">
        <w:t xml:space="preserve">he </w:t>
      </w:r>
      <w:r w:rsidR="004730FE" w:rsidRPr="00CC031C">
        <w:t xml:space="preserve">Court of Turin </w:t>
      </w:r>
      <w:r w:rsidR="004B0558" w:rsidRPr="00CC031C">
        <w:t xml:space="preserve">ruled </w:t>
      </w:r>
      <w:r w:rsidR="004730FE" w:rsidRPr="00CC031C">
        <w:t xml:space="preserve">that the </w:t>
      </w:r>
      <w:r w:rsidR="0032048C" w:rsidRPr="00CC031C">
        <w:t>patent</w:t>
      </w:r>
      <w:r w:rsidR="00392529" w:rsidRPr="00CC031C">
        <w:t xml:space="preserve">, </w:t>
      </w:r>
      <w:r w:rsidR="004730FE" w:rsidRPr="00CC031C">
        <w:t>as amended</w:t>
      </w:r>
      <w:r w:rsidR="00392529" w:rsidRPr="00CC031C">
        <w:t>,</w:t>
      </w:r>
      <w:r w:rsidR="004730FE" w:rsidRPr="00CC031C">
        <w:t xml:space="preserve"> was valid and </w:t>
      </w:r>
      <w:r w:rsidR="0032048C" w:rsidRPr="00CC031C">
        <w:t xml:space="preserve">that Farid </w:t>
      </w:r>
      <w:proofErr w:type="spellStart"/>
      <w:r w:rsidR="0032048C" w:rsidRPr="00CC031C">
        <w:t>Industrie</w:t>
      </w:r>
      <w:proofErr w:type="spellEnd"/>
      <w:r w:rsidR="0032048C" w:rsidRPr="00CC031C">
        <w:t xml:space="preserve"> had infringed it</w:t>
      </w:r>
      <w:r w:rsidR="00BD2DE1" w:rsidRPr="00CC031C">
        <w:t xml:space="preserve">. The case </w:t>
      </w:r>
      <w:r w:rsidR="003C299E" w:rsidRPr="00CC031C">
        <w:t xml:space="preserve">thus </w:t>
      </w:r>
      <w:r w:rsidR="00BD2DE1" w:rsidRPr="00CC031C">
        <w:t xml:space="preserve">continued for the </w:t>
      </w:r>
      <w:r w:rsidR="002653C5" w:rsidRPr="00CC031C">
        <w:t>calculation</w:t>
      </w:r>
      <w:r w:rsidR="00BD2DE1" w:rsidRPr="00CC031C">
        <w:t xml:space="preserve"> of</w:t>
      </w:r>
      <w:r w:rsidR="00E01E26" w:rsidRPr="00CC031C">
        <w:t xml:space="preserve"> </w:t>
      </w:r>
      <w:r w:rsidR="003C299E" w:rsidRPr="00CC031C">
        <w:t>damages</w:t>
      </w:r>
      <w:r w:rsidR="004730FE" w:rsidRPr="00CC031C">
        <w:t xml:space="preserve">. </w:t>
      </w:r>
    </w:p>
    <w:p w14:paraId="5681C5B8" w14:textId="77777777" w:rsidR="00FD3762" w:rsidRPr="00CC031C" w:rsidRDefault="00FD3762" w:rsidP="00613FB5">
      <w:pPr>
        <w:pStyle w:val="Lijstalinea"/>
        <w:spacing w:line="276" w:lineRule="auto"/>
        <w:ind w:left="0"/>
      </w:pPr>
    </w:p>
    <w:p w14:paraId="7432BBFC" w14:textId="218A81D4" w:rsidR="005A10F8" w:rsidRPr="00CC031C" w:rsidRDefault="00B7219F" w:rsidP="00613FB5">
      <w:pPr>
        <w:pStyle w:val="Lijstalinea"/>
        <w:spacing w:line="276" w:lineRule="auto"/>
        <w:ind w:left="0"/>
      </w:pPr>
      <w:r w:rsidRPr="00CC031C">
        <w:t xml:space="preserve">The </w:t>
      </w:r>
      <w:r w:rsidR="00AB775F" w:rsidRPr="00CC031C">
        <w:t>c</w:t>
      </w:r>
      <w:r w:rsidR="00682A19" w:rsidRPr="00CC031C">
        <w:t xml:space="preserve">ourt </w:t>
      </w:r>
      <w:r w:rsidR="00590E02" w:rsidRPr="00CC031C">
        <w:t xml:space="preserve">found </w:t>
      </w:r>
      <w:r w:rsidR="00682A19" w:rsidRPr="00CC031C">
        <w:t xml:space="preserve">that 184 of </w:t>
      </w:r>
      <w:r w:rsidR="00AB775F" w:rsidRPr="00CC031C">
        <w:t xml:space="preserve">the </w:t>
      </w:r>
      <w:r w:rsidR="00682A19" w:rsidRPr="00CC031C">
        <w:t xml:space="preserve">1345 </w:t>
      </w:r>
      <w:r w:rsidR="002F6EC9" w:rsidRPr="00CC031C">
        <w:t>Canal Jet</w:t>
      </w:r>
      <w:r w:rsidR="00F45CBC" w:rsidRPr="00CC031C">
        <w:t xml:space="preserve"> trucks</w:t>
      </w:r>
      <w:r w:rsidR="00153110" w:rsidRPr="00CC031C">
        <w:t xml:space="preserve"> </w:t>
      </w:r>
      <w:r w:rsidR="00DE313D" w:rsidRPr="00CC031C">
        <w:t xml:space="preserve">infringed </w:t>
      </w:r>
      <w:r w:rsidR="002F6EC9" w:rsidRPr="00CC031C">
        <w:t xml:space="preserve">the </w:t>
      </w:r>
      <w:r w:rsidR="0032048C" w:rsidRPr="00CC031C">
        <w:t>p</w:t>
      </w:r>
      <w:r w:rsidR="002F6EC9" w:rsidRPr="00CC031C">
        <w:t>atent</w:t>
      </w:r>
      <w:r w:rsidR="00AB775F" w:rsidRPr="00CC031C">
        <w:t xml:space="preserve"> and, by applying </w:t>
      </w:r>
      <w:r w:rsidR="00AC5D1C" w:rsidRPr="00CC031C">
        <w:t>the reasonable royalty criterion</w:t>
      </w:r>
      <w:r w:rsidR="00AB775F" w:rsidRPr="00CC031C">
        <w:t>,</w:t>
      </w:r>
      <w:r w:rsidR="006A7203" w:rsidRPr="00CC031C">
        <w:t xml:space="preserve"> </w:t>
      </w:r>
      <w:r w:rsidR="00DE313D" w:rsidRPr="00AD75B2">
        <w:t>ordered</w:t>
      </w:r>
      <w:r w:rsidR="004730FE" w:rsidRPr="00277AD1">
        <w:t xml:space="preserve"> </w:t>
      </w:r>
      <w:r w:rsidR="002F6EC9" w:rsidRPr="00277AD1">
        <w:t xml:space="preserve">Farid </w:t>
      </w:r>
      <w:proofErr w:type="spellStart"/>
      <w:r w:rsidR="006A7203" w:rsidRPr="00277AD1">
        <w:t>Industrie</w:t>
      </w:r>
      <w:proofErr w:type="spellEnd"/>
      <w:r w:rsidR="002F6EC9" w:rsidRPr="00277AD1">
        <w:t xml:space="preserve"> </w:t>
      </w:r>
      <w:r w:rsidR="00DE313D" w:rsidRPr="00277AD1">
        <w:t xml:space="preserve">to pay </w:t>
      </w:r>
      <w:r w:rsidR="0032048C" w:rsidRPr="00277AD1">
        <w:t xml:space="preserve">EUR </w:t>
      </w:r>
      <w:r w:rsidR="00AB775F" w:rsidRPr="00277AD1">
        <w:t xml:space="preserve">591,403.96 in </w:t>
      </w:r>
      <w:r w:rsidR="00DE313D" w:rsidRPr="00277AD1">
        <w:t>damages</w:t>
      </w:r>
      <w:r w:rsidR="00AC5D1C" w:rsidRPr="00277AD1">
        <w:t xml:space="preserve">. </w:t>
      </w:r>
      <w:r w:rsidR="009053DF" w:rsidRPr="00277AD1">
        <w:t xml:space="preserve">The </w:t>
      </w:r>
      <w:r w:rsidR="004B0558" w:rsidRPr="00277AD1">
        <w:t xml:space="preserve">court applied </w:t>
      </w:r>
      <w:r w:rsidR="009B7A37" w:rsidRPr="00277AD1">
        <w:t xml:space="preserve">a </w:t>
      </w:r>
      <w:r w:rsidR="005838DC" w:rsidRPr="00277AD1">
        <w:t xml:space="preserve">3% </w:t>
      </w:r>
      <w:r w:rsidR="00240C20" w:rsidRPr="00277AD1">
        <w:t xml:space="preserve">royalty </w:t>
      </w:r>
      <w:r w:rsidR="00783156" w:rsidRPr="00277AD1">
        <w:t xml:space="preserve">rate </w:t>
      </w:r>
      <w:r w:rsidR="00FB627F" w:rsidRPr="00277AD1">
        <w:t>(</w:t>
      </w:r>
      <w:r w:rsidR="00214D10" w:rsidRPr="00277AD1">
        <w:t>determined</w:t>
      </w:r>
      <w:r w:rsidR="00FB627F" w:rsidRPr="00277AD1">
        <w:t xml:space="preserve"> based o</w:t>
      </w:r>
      <w:r w:rsidR="00214D10" w:rsidRPr="00277AD1">
        <w:t>n</w:t>
      </w:r>
      <w:r w:rsidR="00FB627F" w:rsidRPr="00277AD1">
        <w:t xml:space="preserve"> prices normally charged </w:t>
      </w:r>
      <w:r w:rsidR="00DF4659" w:rsidRPr="00277AD1">
        <w:t>in licen</w:t>
      </w:r>
      <w:r w:rsidR="00214D10" w:rsidRPr="00277AD1">
        <w:t>c</w:t>
      </w:r>
      <w:r w:rsidR="00DF4659" w:rsidRPr="00277AD1">
        <w:t>e agreements</w:t>
      </w:r>
      <w:r w:rsidR="00FB627F" w:rsidRPr="00277AD1">
        <w:t xml:space="preserve"> for similar technologies)</w:t>
      </w:r>
      <w:r w:rsidR="00FB627F" w:rsidRPr="00AD75B2">
        <w:t xml:space="preserve"> </w:t>
      </w:r>
      <w:r w:rsidR="00240C20" w:rsidRPr="00277AD1">
        <w:t xml:space="preserve">to </w:t>
      </w:r>
      <w:r w:rsidR="006B79A6" w:rsidRPr="00277AD1">
        <w:t xml:space="preserve">the </w:t>
      </w:r>
      <w:r w:rsidR="00632989" w:rsidRPr="00277AD1">
        <w:t xml:space="preserve">average </w:t>
      </w:r>
      <w:r w:rsidR="006B79A6" w:rsidRPr="00277AD1">
        <w:t xml:space="preserve">revenue from the sale of </w:t>
      </w:r>
      <w:r w:rsidR="00723421" w:rsidRPr="00277AD1">
        <w:t>each</w:t>
      </w:r>
      <w:r w:rsidR="00F45CBC" w:rsidRPr="00277AD1">
        <w:t xml:space="preserve"> infringing </w:t>
      </w:r>
      <w:r w:rsidR="005838DC" w:rsidRPr="00277AD1">
        <w:t>truck</w:t>
      </w:r>
      <w:r w:rsidR="00632989" w:rsidRPr="00277AD1">
        <w:t xml:space="preserve">, equitably reduced </w:t>
      </w:r>
      <w:r w:rsidR="00DF4659" w:rsidRPr="00277AD1">
        <w:t xml:space="preserve">by 20% </w:t>
      </w:r>
      <w:r w:rsidR="00A76543" w:rsidRPr="00277AD1">
        <w:t>to</w:t>
      </w:r>
      <w:r w:rsidR="00A76543" w:rsidRPr="00AD75B2">
        <w:t xml:space="preserve"> </w:t>
      </w:r>
      <w:r w:rsidR="00632989" w:rsidRPr="00277AD1">
        <w:t>tak</w:t>
      </w:r>
      <w:r w:rsidR="00A76543" w:rsidRPr="00277AD1">
        <w:t>e</w:t>
      </w:r>
      <w:r w:rsidR="00632989" w:rsidRPr="00277AD1">
        <w:t xml:space="preserve"> into account </w:t>
      </w:r>
      <w:r w:rsidR="009053DF" w:rsidRPr="00277AD1">
        <w:t>the</w:t>
      </w:r>
      <w:r w:rsidR="00A76543" w:rsidRPr="00277AD1">
        <w:t xml:space="preserve"> infringer’s</w:t>
      </w:r>
      <w:r w:rsidR="009053DF" w:rsidRPr="00277AD1">
        <w:t xml:space="preserve"> incremental </w:t>
      </w:r>
      <w:r w:rsidR="006B79A6" w:rsidRPr="00277AD1">
        <w:t>manufacturing</w:t>
      </w:r>
      <w:r w:rsidR="009053DF" w:rsidRPr="00277AD1">
        <w:t xml:space="preserve"> costs</w:t>
      </w:r>
      <w:r w:rsidR="001562D3" w:rsidRPr="00AD75B2">
        <w:t>.</w:t>
      </w:r>
      <w:r w:rsidR="001562D3" w:rsidRPr="00CC031C">
        <w:t xml:space="preserve"> </w:t>
      </w:r>
    </w:p>
    <w:p w14:paraId="374FCBEB" w14:textId="07654C42" w:rsidR="009053DF" w:rsidRPr="00CC031C" w:rsidRDefault="009053DF" w:rsidP="00613FB5">
      <w:pPr>
        <w:spacing w:line="276" w:lineRule="auto"/>
      </w:pPr>
    </w:p>
    <w:p w14:paraId="557F7ABD" w14:textId="3B52A0BD" w:rsidR="00217911" w:rsidRPr="00CC031C" w:rsidRDefault="006833C5" w:rsidP="00613FB5">
      <w:pPr>
        <w:pStyle w:val="Lijstalinea"/>
        <w:spacing w:line="276" w:lineRule="auto"/>
        <w:ind w:left="0"/>
      </w:pPr>
      <w:r w:rsidRPr="00CC031C">
        <w:t xml:space="preserve">Farid </w:t>
      </w:r>
      <w:proofErr w:type="spellStart"/>
      <w:r w:rsidRPr="00CC031C">
        <w:t>Industrie</w:t>
      </w:r>
      <w:proofErr w:type="spellEnd"/>
      <w:r w:rsidRPr="00CC031C">
        <w:t xml:space="preserve"> appealed the </w:t>
      </w:r>
      <w:r w:rsidR="00723421" w:rsidRPr="00CC031C">
        <w:t>decision</w:t>
      </w:r>
      <w:r w:rsidR="0032048C" w:rsidRPr="00CC031C">
        <w:t xml:space="preserve"> before t</w:t>
      </w:r>
      <w:r w:rsidR="006B79A6" w:rsidRPr="00CC031C">
        <w:t xml:space="preserve">he </w:t>
      </w:r>
      <w:r w:rsidR="009053DF" w:rsidRPr="00CC031C">
        <w:t xml:space="preserve">Court of </w:t>
      </w:r>
      <w:r w:rsidR="009053DF" w:rsidRPr="00AD75B2">
        <w:t>Appeal</w:t>
      </w:r>
      <w:r w:rsidR="00A76543" w:rsidRPr="00277AD1">
        <w:t xml:space="preserve"> of Turin</w:t>
      </w:r>
      <w:r w:rsidR="0032048C" w:rsidRPr="00277AD1">
        <w:t>, which</w:t>
      </w:r>
      <w:r w:rsidR="009053DF" w:rsidRPr="00277AD1">
        <w:t xml:space="preserve"> </w:t>
      </w:r>
      <w:r w:rsidR="00217911" w:rsidRPr="00277AD1">
        <w:t xml:space="preserve">similarly </w:t>
      </w:r>
      <w:r w:rsidR="0032048C" w:rsidRPr="00277AD1">
        <w:t xml:space="preserve">ruled </w:t>
      </w:r>
      <w:r w:rsidR="006B79A6" w:rsidRPr="00277AD1">
        <w:t xml:space="preserve">that </w:t>
      </w:r>
      <w:r w:rsidR="009053DF" w:rsidRPr="00277AD1">
        <w:t xml:space="preserve">the </w:t>
      </w:r>
      <w:r w:rsidR="00217911" w:rsidRPr="00277AD1">
        <w:t>p</w:t>
      </w:r>
      <w:r w:rsidR="009053DF" w:rsidRPr="00277AD1">
        <w:t xml:space="preserve">atent was valid and </w:t>
      </w:r>
      <w:r w:rsidR="00217911" w:rsidRPr="00277AD1">
        <w:t xml:space="preserve">had been </w:t>
      </w:r>
      <w:r w:rsidR="009053DF" w:rsidRPr="00277AD1">
        <w:t xml:space="preserve">infringed </w:t>
      </w:r>
      <w:r w:rsidRPr="00277AD1">
        <w:t>but</w:t>
      </w:r>
      <w:r w:rsidR="00D940CC" w:rsidRPr="00277AD1">
        <w:t xml:space="preserve"> </w:t>
      </w:r>
      <w:r w:rsidR="00B7219F" w:rsidRPr="00277AD1">
        <w:t>that</w:t>
      </w:r>
      <w:r w:rsidR="00E0707A" w:rsidRPr="00277AD1">
        <w:t xml:space="preserve"> only </w:t>
      </w:r>
      <w:r w:rsidR="001562D3" w:rsidRPr="00277AD1">
        <w:t xml:space="preserve">three </w:t>
      </w:r>
      <w:r w:rsidRPr="00277AD1">
        <w:t xml:space="preserve">Canal Jet </w:t>
      </w:r>
      <w:r w:rsidR="00723421" w:rsidRPr="00277AD1">
        <w:t xml:space="preserve">trucks </w:t>
      </w:r>
      <w:r w:rsidRPr="00277AD1">
        <w:t xml:space="preserve">infringed the </w:t>
      </w:r>
      <w:r w:rsidR="00217911" w:rsidRPr="00277AD1">
        <w:t>patent</w:t>
      </w:r>
      <w:r w:rsidR="00E0707A" w:rsidRPr="00277AD1">
        <w:t>.</w:t>
      </w:r>
      <w:r w:rsidR="00E0707A" w:rsidRPr="00CC031C">
        <w:t xml:space="preserve"> </w:t>
      </w:r>
    </w:p>
    <w:p w14:paraId="5D9CD9F1" w14:textId="77777777" w:rsidR="00217911" w:rsidRPr="00CC031C" w:rsidRDefault="00217911" w:rsidP="00613FB5">
      <w:pPr>
        <w:pStyle w:val="Lijstalinea"/>
        <w:spacing w:line="276" w:lineRule="auto"/>
        <w:ind w:left="0"/>
      </w:pPr>
    </w:p>
    <w:p w14:paraId="64019B15" w14:textId="53160979" w:rsidR="0011585E" w:rsidRPr="00277AD1" w:rsidRDefault="00255CCE" w:rsidP="0011585E">
      <w:pPr>
        <w:spacing w:line="276" w:lineRule="auto"/>
      </w:pPr>
      <w:proofErr w:type="spellStart"/>
      <w:r w:rsidRPr="00AD75B2">
        <w:t>Cappellotto</w:t>
      </w:r>
      <w:proofErr w:type="spellEnd"/>
      <w:r w:rsidRPr="00AD75B2">
        <w:t xml:space="preserve"> </w:t>
      </w:r>
      <w:r w:rsidR="00DF623B" w:rsidRPr="00AD75B2">
        <w:t xml:space="preserve">challenged </w:t>
      </w:r>
      <w:r w:rsidR="00166664" w:rsidRPr="00AD75B2">
        <w:t xml:space="preserve">the </w:t>
      </w:r>
      <w:r w:rsidR="0011585E" w:rsidRPr="00AD75B2">
        <w:t xml:space="preserve">first-instance </w:t>
      </w:r>
      <w:r w:rsidR="00166664" w:rsidRPr="00AD75B2">
        <w:t>court’s decision not to</w:t>
      </w:r>
      <w:r w:rsidR="00DF623B" w:rsidRPr="00AD75B2">
        <w:t xml:space="preserve"> apply </w:t>
      </w:r>
      <w:r w:rsidR="000206AF" w:rsidRPr="00AD75B2">
        <w:t>the</w:t>
      </w:r>
      <w:r w:rsidR="00590E02" w:rsidRPr="00AD75B2">
        <w:t xml:space="preserve"> </w:t>
      </w:r>
      <w:r w:rsidRPr="00AD75B2">
        <w:t>gross operating margin (incremental)</w:t>
      </w:r>
      <w:r w:rsidR="00E168EF" w:rsidRPr="00AD75B2">
        <w:t xml:space="preserve"> </w:t>
      </w:r>
      <w:r w:rsidR="00580CFB" w:rsidRPr="00AD75B2">
        <w:t xml:space="preserve">criterion </w:t>
      </w:r>
      <w:r w:rsidR="00E168EF" w:rsidRPr="00AD75B2">
        <w:t xml:space="preserve">(i.e., </w:t>
      </w:r>
      <w:r w:rsidR="006B6AA5" w:rsidRPr="00AD75B2">
        <w:t>the</w:t>
      </w:r>
      <w:r w:rsidR="005D2A04" w:rsidRPr="00AD75B2">
        <w:t xml:space="preserve"> profit margin </w:t>
      </w:r>
      <w:r w:rsidR="00926EC8" w:rsidRPr="00AD75B2">
        <w:t>earned</w:t>
      </w:r>
      <w:r w:rsidR="005D2A04" w:rsidRPr="00AD75B2">
        <w:t xml:space="preserve"> by the patent holder on the patented products </w:t>
      </w:r>
      <w:r w:rsidR="00926EC8" w:rsidRPr="00AD75B2">
        <w:t xml:space="preserve">is applied </w:t>
      </w:r>
      <w:r w:rsidR="00E168EF" w:rsidRPr="00AD75B2">
        <w:t xml:space="preserve">to the </w:t>
      </w:r>
      <w:r w:rsidR="00926EC8" w:rsidRPr="00AD75B2">
        <w:t>revenue</w:t>
      </w:r>
      <w:r w:rsidR="00E168EF" w:rsidRPr="00AD75B2">
        <w:t xml:space="preserve"> </w:t>
      </w:r>
      <w:r w:rsidR="00926EC8" w:rsidRPr="00AD75B2">
        <w:t>generated</w:t>
      </w:r>
      <w:r w:rsidR="00E168EF" w:rsidRPr="00AD75B2">
        <w:t xml:space="preserve"> by the infringer</w:t>
      </w:r>
      <w:r w:rsidR="005D2A04" w:rsidRPr="00AD75B2">
        <w:t xml:space="preserve"> </w:t>
      </w:r>
      <w:r w:rsidR="006B6AA5" w:rsidRPr="00AD75B2">
        <w:t xml:space="preserve">from </w:t>
      </w:r>
      <w:r w:rsidR="005D2A04" w:rsidRPr="00AD75B2">
        <w:t>the sale of the infringing products</w:t>
      </w:r>
      <w:r w:rsidR="00E168EF" w:rsidRPr="00AD75B2">
        <w:t>, as if the patent holder</w:t>
      </w:r>
      <w:r w:rsidR="0011585E" w:rsidRPr="00AD75B2">
        <w:t xml:space="preserve"> </w:t>
      </w:r>
      <w:r w:rsidR="00E168EF" w:rsidRPr="00AD75B2">
        <w:t xml:space="preserve">had sold the infringing products at the same price) </w:t>
      </w:r>
      <w:r w:rsidR="00217911" w:rsidRPr="00AD75B2">
        <w:lastRenderedPageBreak/>
        <w:t>instead of</w:t>
      </w:r>
      <w:r w:rsidRPr="00AD75B2">
        <w:t xml:space="preserve"> the reasonable royalty criterion</w:t>
      </w:r>
      <w:r w:rsidR="00166664" w:rsidRPr="00AD75B2">
        <w:t xml:space="preserve"> </w:t>
      </w:r>
      <w:r w:rsidR="00DF623B" w:rsidRPr="00AD75B2">
        <w:t>and argued that it had demonstrated</w:t>
      </w:r>
      <w:r w:rsidR="00166664" w:rsidRPr="00AD75B2">
        <w:t xml:space="preserve"> that </w:t>
      </w:r>
      <w:r w:rsidR="0011585E" w:rsidRPr="00AD75B2">
        <w:t>its</w:t>
      </w:r>
      <w:r w:rsidR="00166664" w:rsidRPr="00AD75B2">
        <w:t xml:space="preserve"> </w:t>
      </w:r>
      <w:r w:rsidR="006C2611" w:rsidRPr="00AD75B2">
        <w:t>operating</w:t>
      </w:r>
      <w:r w:rsidR="00166664" w:rsidRPr="00AD75B2">
        <w:t xml:space="preserve"> margin was </w:t>
      </w:r>
      <w:r w:rsidR="006C2611" w:rsidRPr="00AD75B2">
        <w:t>25%</w:t>
      </w:r>
      <w:r w:rsidR="00DF623B" w:rsidRPr="00AD75B2">
        <w:t xml:space="preserve">. </w:t>
      </w:r>
      <w:proofErr w:type="spellStart"/>
      <w:r w:rsidR="00DF623B" w:rsidRPr="00AD75B2">
        <w:t>Cappellotto</w:t>
      </w:r>
      <w:proofErr w:type="spellEnd"/>
      <w:r w:rsidR="00DF623B" w:rsidRPr="00AD75B2">
        <w:t xml:space="preserve"> </w:t>
      </w:r>
      <w:r w:rsidR="0011585E" w:rsidRPr="00AD75B2">
        <w:t xml:space="preserve">also </w:t>
      </w:r>
      <w:r w:rsidR="00DF623B" w:rsidRPr="00AD75B2">
        <w:t xml:space="preserve">challenged </w:t>
      </w:r>
      <w:r w:rsidR="00E93D50" w:rsidRPr="00AD75B2">
        <w:t xml:space="preserve">the court’s </w:t>
      </w:r>
      <w:r w:rsidR="00166664" w:rsidRPr="00AD75B2">
        <w:t xml:space="preserve">further </w:t>
      </w:r>
      <w:r w:rsidR="00E93D50" w:rsidRPr="00AD75B2">
        <w:t xml:space="preserve">decision to deduct 20% </w:t>
      </w:r>
      <w:r w:rsidR="000333D3" w:rsidRPr="00AD75B2">
        <w:t xml:space="preserve">from </w:t>
      </w:r>
      <w:r w:rsidR="00E93D50" w:rsidRPr="00AD75B2">
        <w:t>the revenue from the sale of the infringing trucks</w:t>
      </w:r>
      <w:r w:rsidR="00560DB6" w:rsidRPr="00AD75B2">
        <w:t>, as it</w:t>
      </w:r>
      <w:r w:rsidR="009561C7" w:rsidRPr="00AD75B2">
        <w:t xml:space="preserve"> </w:t>
      </w:r>
      <w:r w:rsidR="00E93D50" w:rsidRPr="00AD75B2">
        <w:t>argu</w:t>
      </w:r>
      <w:r w:rsidR="00560DB6" w:rsidRPr="00AD75B2">
        <w:t>ed</w:t>
      </w:r>
      <w:r w:rsidR="009561C7" w:rsidRPr="00AD75B2">
        <w:t xml:space="preserve"> </w:t>
      </w:r>
      <w:r w:rsidR="00E93D50" w:rsidRPr="00AD75B2">
        <w:t>that</w:t>
      </w:r>
      <w:r w:rsidR="00453EED" w:rsidRPr="00AD75B2">
        <w:t>, according to</w:t>
      </w:r>
      <w:r w:rsidR="00E93D50" w:rsidRPr="00AD75B2">
        <w:t xml:space="preserve"> caselaw</w:t>
      </w:r>
      <w:r w:rsidR="00453EED" w:rsidRPr="00AD75B2">
        <w:t>,</w:t>
      </w:r>
      <w:r w:rsidR="00E93D50" w:rsidRPr="00AD75B2">
        <w:t xml:space="preserve"> the reasonable royalty criterion is usually applied to gross </w:t>
      </w:r>
      <w:r w:rsidR="0011585E" w:rsidRPr="00AD75B2">
        <w:t>revenue</w:t>
      </w:r>
      <w:r w:rsidR="009561C7" w:rsidRPr="00AD75B2">
        <w:t xml:space="preserve"> </w:t>
      </w:r>
      <w:r w:rsidR="00E5006E" w:rsidRPr="00AD75B2">
        <w:t>(</w:t>
      </w:r>
      <w:r w:rsidR="00BD2BC3" w:rsidRPr="00AD75B2">
        <w:t>i.e.</w:t>
      </w:r>
      <w:r w:rsidR="0011585E" w:rsidRPr="00AD75B2">
        <w:t>,</w:t>
      </w:r>
      <w:r w:rsidR="00BD2BC3" w:rsidRPr="00AD75B2">
        <w:t xml:space="preserve"> to the</w:t>
      </w:r>
      <w:r w:rsidR="00E93D50" w:rsidRPr="00AD75B2">
        <w:t xml:space="preserve"> </w:t>
      </w:r>
      <w:r w:rsidR="00453EED" w:rsidRPr="00AD75B2">
        <w:t xml:space="preserve">infringer’s </w:t>
      </w:r>
      <w:r w:rsidR="00E93D50" w:rsidRPr="00AD75B2">
        <w:t>total revenue</w:t>
      </w:r>
      <w:r w:rsidR="00E5006E" w:rsidRPr="00AD75B2">
        <w:t>)</w:t>
      </w:r>
      <w:r w:rsidR="00E93D50" w:rsidRPr="00AD75B2">
        <w:t xml:space="preserve"> without equitable reductions </w:t>
      </w:r>
      <w:r w:rsidR="009561C7" w:rsidRPr="00AD75B2">
        <w:t>related to</w:t>
      </w:r>
      <w:r w:rsidR="00E93D50" w:rsidRPr="00AD75B2">
        <w:t xml:space="preserve"> </w:t>
      </w:r>
      <w:r w:rsidR="00E5006E" w:rsidRPr="00AD75B2">
        <w:t xml:space="preserve">manufacturing </w:t>
      </w:r>
      <w:r w:rsidR="00E93D50" w:rsidRPr="00AD75B2">
        <w:t>cost</w:t>
      </w:r>
      <w:r w:rsidR="009561C7" w:rsidRPr="00AD75B2">
        <w:t>s</w:t>
      </w:r>
      <w:r w:rsidR="00580CFB" w:rsidRPr="00AD75B2">
        <w:t>.</w:t>
      </w:r>
      <w:r w:rsidR="00E5006E" w:rsidRPr="00AD75B2">
        <w:t xml:space="preserve"> </w:t>
      </w:r>
      <w:r w:rsidR="00580CFB" w:rsidRPr="00AD75B2">
        <w:t>Lastly</w:t>
      </w:r>
      <w:r w:rsidR="0011585E" w:rsidRPr="00AD75B2">
        <w:t>,</w:t>
      </w:r>
      <w:r w:rsidR="00580CFB" w:rsidRPr="00AD75B2">
        <w:t xml:space="preserve"> </w:t>
      </w:r>
      <w:proofErr w:type="spellStart"/>
      <w:r w:rsidR="00580CFB" w:rsidRPr="00AD75B2">
        <w:t>Cappellotto</w:t>
      </w:r>
      <w:proofErr w:type="spellEnd"/>
      <w:r w:rsidR="00580CFB" w:rsidRPr="00AD75B2">
        <w:t xml:space="preserve"> </w:t>
      </w:r>
      <w:r w:rsidR="00560DB6" w:rsidRPr="00277AD1">
        <w:t>argued</w:t>
      </w:r>
      <w:r w:rsidR="00580CFB" w:rsidRPr="00277AD1">
        <w:t xml:space="preserve"> that</w:t>
      </w:r>
      <w:r w:rsidR="00560DB6" w:rsidRPr="00277AD1">
        <w:t>,</w:t>
      </w:r>
      <w:r w:rsidR="00580CFB" w:rsidRPr="00277AD1">
        <w:t xml:space="preserve"> in</w:t>
      </w:r>
      <w:r w:rsidR="00166664" w:rsidRPr="00277AD1">
        <w:t xml:space="preserve"> any case</w:t>
      </w:r>
      <w:r w:rsidR="00995856" w:rsidRPr="00277AD1">
        <w:t>,</w:t>
      </w:r>
      <w:r w:rsidR="00166664" w:rsidRPr="00277AD1">
        <w:t xml:space="preserve"> the 3% royalty rate </w:t>
      </w:r>
      <w:r w:rsidR="00E168EF" w:rsidRPr="00277AD1">
        <w:t xml:space="preserve">was </w:t>
      </w:r>
      <w:r w:rsidR="00580CFB" w:rsidRPr="00277AD1">
        <w:t xml:space="preserve">too </w:t>
      </w:r>
      <w:r w:rsidR="00166664" w:rsidRPr="00277AD1">
        <w:t>low</w:t>
      </w:r>
      <w:r w:rsidRPr="00277AD1">
        <w:t>.</w:t>
      </w:r>
    </w:p>
    <w:p w14:paraId="2AB180AB" w14:textId="0F7636D5" w:rsidR="00E168EF" w:rsidRPr="00277AD1" w:rsidRDefault="00255CCE" w:rsidP="0011585E">
      <w:pPr>
        <w:spacing w:line="276" w:lineRule="auto"/>
      </w:pPr>
      <w:r w:rsidRPr="00277AD1">
        <w:t xml:space="preserve"> </w:t>
      </w:r>
    </w:p>
    <w:p w14:paraId="292EAB3B" w14:textId="0B3947A1" w:rsidR="00217911" w:rsidRPr="00277AD1" w:rsidRDefault="00FA25C9" w:rsidP="00AD75B2">
      <w:pPr>
        <w:spacing w:line="276" w:lineRule="auto"/>
      </w:pPr>
      <w:r w:rsidRPr="00277AD1">
        <w:t>T</w:t>
      </w:r>
      <w:r w:rsidR="00217911" w:rsidRPr="00277AD1">
        <w:t xml:space="preserve">he </w:t>
      </w:r>
      <w:r w:rsidR="00B47A87" w:rsidRPr="00277AD1">
        <w:t>appeal court</w:t>
      </w:r>
      <w:r w:rsidRPr="00AD75B2">
        <w:t xml:space="preserve"> </w:t>
      </w:r>
      <w:r w:rsidR="00255CCE" w:rsidRPr="00277AD1">
        <w:t xml:space="preserve">denied the application </w:t>
      </w:r>
      <w:r w:rsidR="002B5008" w:rsidRPr="00277AD1">
        <w:t xml:space="preserve">of the gross operating margin (incremental) criterion </w:t>
      </w:r>
      <w:r w:rsidR="00217911" w:rsidRPr="00277AD1">
        <w:t>on the ground</w:t>
      </w:r>
      <w:r w:rsidR="00255CCE" w:rsidRPr="00277AD1">
        <w:t xml:space="preserve"> that </w:t>
      </w:r>
      <w:proofErr w:type="spellStart"/>
      <w:r w:rsidR="00255CCE" w:rsidRPr="00277AD1">
        <w:t>Cappellotto</w:t>
      </w:r>
      <w:proofErr w:type="spellEnd"/>
      <w:r w:rsidR="00255CCE" w:rsidRPr="00277AD1">
        <w:t xml:space="preserve"> </w:t>
      </w:r>
      <w:r w:rsidR="00217911" w:rsidRPr="00277AD1">
        <w:t>had failed to prove</w:t>
      </w:r>
      <w:r w:rsidR="00255CCE" w:rsidRPr="00277AD1">
        <w:t xml:space="preserve"> that it had suffered an actual loss of profit resulting from a decrease in sales </w:t>
      </w:r>
      <w:r w:rsidR="00217911" w:rsidRPr="00277AD1">
        <w:t>because of</w:t>
      </w:r>
      <w:r w:rsidR="00255CCE" w:rsidRPr="00277AD1">
        <w:t xml:space="preserve"> the presence </w:t>
      </w:r>
      <w:r w:rsidR="00217911" w:rsidRPr="00277AD1">
        <w:t xml:space="preserve">of the infringing machines </w:t>
      </w:r>
      <w:r w:rsidR="00255CCE" w:rsidRPr="00277AD1">
        <w:t xml:space="preserve">on the market </w:t>
      </w:r>
      <w:r w:rsidR="007C664A" w:rsidRPr="00277AD1">
        <w:t>(</w:t>
      </w:r>
      <w:r w:rsidR="00255CCE" w:rsidRPr="00277AD1">
        <w:t>beyond the sale of the three infringing Canal Jet trucks</w:t>
      </w:r>
      <w:r w:rsidR="007C664A" w:rsidRPr="00277AD1">
        <w:t>)</w:t>
      </w:r>
      <w:r w:rsidR="00255CCE" w:rsidRPr="00277AD1">
        <w:t>,</w:t>
      </w:r>
      <w:r w:rsidR="00217911" w:rsidRPr="00277AD1">
        <w:t xml:space="preserve"> </w:t>
      </w:r>
      <w:r w:rsidR="00255CCE" w:rsidRPr="00277AD1">
        <w:t xml:space="preserve">for which it claimed </w:t>
      </w:r>
      <w:r w:rsidR="00217911" w:rsidRPr="00277AD1">
        <w:t>damages</w:t>
      </w:r>
      <w:r w:rsidR="007C664A" w:rsidRPr="00277AD1">
        <w:t xml:space="preserve">. </w:t>
      </w:r>
    </w:p>
    <w:p w14:paraId="048D13DF" w14:textId="77777777" w:rsidR="00217911" w:rsidRPr="00277AD1" w:rsidRDefault="00217911" w:rsidP="00613FB5">
      <w:pPr>
        <w:pStyle w:val="Lijstalinea"/>
        <w:spacing w:line="276" w:lineRule="auto"/>
        <w:ind w:left="0"/>
      </w:pPr>
    </w:p>
    <w:p w14:paraId="3E1A1B64" w14:textId="07F4391F" w:rsidR="000E2416" w:rsidRPr="00CC031C" w:rsidRDefault="007C664A" w:rsidP="00613FB5">
      <w:pPr>
        <w:pStyle w:val="Lijstalinea"/>
        <w:spacing w:line="276" w:lineRule="auto"/>
        <w:ind w:left="0"/>
      </w:pPr>
      <w:r w:rsidRPr="00277AD1">
        <w:t xml:space="preserve">The </w:t>
      </w:r>
      <w:r w:rsidR="00B47A87" w:rsidRPr="00277AD1">
        <w:t>appeal court</w:t>
      </w:r>
      <w:r w:rsidR="0080001D" w:rsidRPr="00277AD1">
        <w:t xml:space="preserve"> </w:t>
      </w:r>
      <w:r w:rsidRPr="00277AD1">
        <w:t xml:space="preserve">thus </w:t>
      </w:r>
      <w:r w:rsidR="00217911" w:rsidRPr="00277AD1">
        <w:t xml:space="preserve">upheld </w:t>
      </w:r>
      <w:r w:rsidR="009053DF" w:rsidRPr="00277AD1">
        <w:t xml:space="preserve">the application of the </w:t>
      </w:r>
      <w:r w:rsidR="001562D3" w:rsidRPr="00277AD1">
        <w:t xml:space="preserve">reasonable </w:t>
      </w:r>
      <w:r w:rsidR="00373D04" w:rsidRPr="00277AD1">
        <w:t>royalty criterion</w:t>
      </w:r>
      <w:r w:rsidR="00B7219F" w:rsidRPr="00277AD1">
        <w:t xml:space="preserve">, which </w:t>
      </w:r>
      <w:r w:rsidRPr="00277AD1">
        <w:t xml:space="preserve">it </w:t>
      </w:r>
      <w:r w:rsidR="00B7219F" w:rsidRPr="00277AD1">
        <w:t>estimated</w:t>
      </w:r>
      <w:r w:rsidR="00E0707A" w:rsidRPr="00277AD1">
        <w:t xml:space="preserve"> at 5%</w:t>
      </w:r>
      <w:r w:rsidR="003318FF" w:rsidRPr="00277AD1">
        <w:t>.</w:t>
      </w:r>
      <w:r w:rsidR="0080001D" w:rsidRPr="00277AD1">
        <w:t xml:space="preserve"> </w:t>
      </w:r>
      <w:r w:rsidR="003318FF" w:rsidRPr="00277AD1">
        <w:t>However</w:t>
      </w:r>
      <w:r w:rsidR="005A0E02" w:rsidRPr="00277AD1">
        <w:t>,</w:t>
      </w:r>
      <w:r w:rsidR="003318FF" w:rsidRPr="00277AD1">
        <w:t xml:space="preserve"> the </w:t>
      </w:r>
      <w:r w:rsidR="00B47A87" w:rsidRPr="00277AD1">
        <w:t>appeal court</w:t>
      </w:r>
      <w:r w:rsidR="003318FF" w:rsidRPr="00277AD1">
        <w:t xml:space="preserve"> did not</w:t>
      </w:r>
      <w:r w:rsidR="005A0E02" w:rsidRPr="00277AD1">
        <w:t xml:space="preserve"> </w:t>
      </w:r>
      <w:r w:rsidR="00A1493A" w:rsidRPr="00277AD1">
        <w:t>deduct</w:t>
      </w:r>
      <w:r w:rsidR="003318FF" w:rsidRPr="00277AD1">
        <w:t xml:space="preserve"> </w:t>
      </w:r>
      <w:r w:rsidR="00783156" w:rsidRPr="00277AD1">
        <w:t>any</w:t>
      </w:r>
      <w:r w:rsidR="00373D04" w:rsidRPr="00277AD1">
        <w:t xml:space="preserve"> incremental </w:t>
      </w:r>
      <w:r w:rsidR="003614DA" w:rsidRPr="00277AD1">
        <w:t xml:space="preserve">manufacturing </w:t>
      </w:r>
      <w:r w:rsidR="00373D04" w:rsidRPr="00277AD1">
        <w:t>costs</w:t>
      </w:r>
      <w:r w:rsidR="00A1493A" w:rsidRPr="00277AD1">
        <w:t> </w:t>
      </w:r>
      <w:r w:rsidR="003318FF" w:rsidRPr="00277AD1">
        <w:t xml:space="preserve">from Farid </w:t>
      </w:r>
      <w:proofErr w:type="spellStart"/>
      <w:r w:rsidR="003318FF" w:rsidRPr="00277AD1">
        <w:t>Industrie’s</w:t>
      </w:r>
      <w:proofErr w:type="spellEnd"/>
      <w:r w:rsidR="003318FF" w:rsidRPr="00277AD1">
        <w:t xml:space="preserve"> total revenue in order to avoid Farid </w:t>
      </w:r>
      <w:proofErr w:type="spellStart"/>
      <w:r w:rsidR="003318FF" w:rsidRPr="00277AD1">
        <w:t>Industrie’s</w:t>
      </w:r>
      <w:proofErr w:type="spellEnd"/>
      <w:r w:rsidR="003318FF" w:rsidRPr="00277AD1">
        <w:t xml:space="preserve"> unjust enrichment and because it found that no</w:t>
      </w:r>
      <w:r w:rsidR="00C970A4" w:rsidRPr="00277AD1">
        <w:t xml:space="preserve"> definit</w:t>
      </w:r>
      <w:r w:rsidR="005A0E02" w:rsidRPr="00277AD1">
        <w:t>iv</w:t>
      </w:r>
      <w:r w:rsidR="00C970A4" w:rsidRPr="00277AD1">
        <w:t xml:space="preserve">e evidence of </w:t>
      </w:r>
      <w:r w:rsidR="000578B6" w:rsidRPr="00277AD1">
        <w:t xml:space="preserve">Farid </w:t>
      </w:r>
      <w:proofErr w:type="spellStart"/>
      <w:r w:rsidR="000578B6" w:rsidRPr="00277AD1">
        <w:t>Industrie’s</w:t>
      </w:r>
      <w:proofErr w:type="spellEnd"/>
      <w:r w:rsidR="000578B6" w:rsidRPr="00277AD1">
        <w:t xml:space="preserve"> </w:t>
      </w:r>
      <w:r w:rsidR="00C970A4" w:rsidRPr="00277AD1">
        <w:t>incremental costs</w:t>
      </w:r>
      <w:r w:rsidR="005A0E02" w:rsidRPr="00277AD1">
        <w:t xml:space="preserve"> had been provided, let alone</w:t>
      </w:r>
      <w:r w:rsidR="00C970A4" w:rsidRPr="00277AD1">
        <w:t xml:space="preserve"> </w:t>
      </w:r>
      <w:r w:rsidR="0080001D" w:rsidRPr="00277AD1">
        <w:t>any</w:t>
      </w:r>
      <w:r w:rsidR="00C970A4" w:rsidRPr="00277AD1">
        <w:t xml:space="preserve"> </w:t>
      </w:r>
      <w:r w:rsidR="000578B6" w:rsidRPr="00277AD1">
        <w:t xml:space="preserve">useful </w:t>
      </w:r>
      <w:r w:rsidR="00C970A4" w:rsidRPr="00277AD1">
        <w:t xml:space="preserve">element </w:t>
      </w:r>
      <w:r w:rsidR="000578B6" w:rsidRPr="00277AD1">
        <w:t>t</w:t>
      </w:r>
      <w:r w:rsidR="00C970A4" w:rsidRPr="00277AD1">
        <w:t>o evaluate the</w:t>
      </w:r>
      <w:r w:rsidR="005A0E02" w:rsidRPr="00277AD1">
        <w:t>se costs</w:t>
      </w:r>
      <w:r w:rsidR="00C970A4" w:rsidRPr="00277AD1">
        <w:t xml:space="preserve"> on an equitable basis</w:t>
      </w:r>
      <w:r w:rsidR="00D940CC" w:rsidRPr="00277AD1">
        <w:t>.</w:t>
      </w:r>
      <w:r w:rsidR="00D940CC" w:rsidRPr="00CC031C">
        <w:t xml:space="preserve"> </w:t>
      </w:r>
    </w:p>
    <w:p w14:paraId="210B7EDE" w14:textId="167DC8F0" w:rsidR="00692975" w:rsidRPr="00CC031C" w:rsidRDefault="00692975" w:rsidP="00613FB5">
      <w:pPr>
        <w:pStyle w:val="Lijstalinea"/>
        <w:spacing w:line="276" w:lineRule="auto"/>
        <w:ind w:left="0"/>
      </w:pPr>
    </w:p>
    <w:p w14:paraId="2BEB0D8C" w14:textId="58C52A2E" w:rsidR="00A71BDC" w:rsidRPr="00CC031C" w:rsidRDefault="000B0247" w:rsidP="00613FB5">
      <w:pPr>
        <w:spacing w:line="276" w:lineRule="auto"/>
      </w:pPr>
      <w:proofErr w:type="spellStart"/>
      <w:r w:rsidRPr="00277AD1">
        <w:t>Cappellotto</w:t>
      </w:r>
      <w:proofErr w:type="spellEnd"/>
      <w:r w:rsidRPr="00277AD1">
        <w:t xml:space="preserve"> appealed before the Supreme Court</w:t>
      </w:r>
      <w:r w:rsidR="00B43268" w:rsidRPr="00277AD1">
        <w:t>,</w:t>
      </w:r>
      <w:r w:rsidR="008A468C" w:rsidRPr="00277AD1">
        <w:t xml:space="preserve"> arguing</w:t>
      </w:r>
      <w:r w:rsidR="0052404B" w:rsidRPr="00277AD1">
        <w:t xml:space="preserve"> that (among other things) </w:t>
      </w:r>
      <w:r w:rsidR="007E0FD5" w:rsidRPr="00277AD1">
        <w:t xml:space="preserve">the </w:t>
      </w:r>
      <w:r w:rsidR="00B47A87" w:rsidRPr="00277AD1">
        <w:t>appeal court</w:t>
      </w:r>
      <w:r w:rsidR="00217911" w:rsidRPr="00277AD1">
        <w:t xml:space="preserve"> </w:t>
      </w:r>
      <w:r w:rsidR="00FD3762" w:rsidRPr="00277AD1">
        <w:t xml:space="preserve">should have applied </w:t>
      </w:r>
      <w:r w:rsidR="00B84B5C" w:rsidRPr="00277AD1">
        <w:t xml:space="preserve">the criterion </w:t>
      </w:r>
      <w:r w:rsidR="005A0E02" w:rsidRPr="00277AD1">
        <w:t xml:space="preserve">determined </w:t>
      </w:r>
      <w:r w:rsidR="00735867" w:rsidRPr="00277AD1">
        <w:t xml:space="preserve">by </w:t>
      </w:r>
      <w:proofErr w:type="spellStart"/>
      <w:r w:rsidR="00B84B5C" w:rsidRPr="00277AD1">
        <w:t>Cappellotto</w:t>
      </w:r>
      <w:proofErr w:type="spellEnd"/>
      <w:r w:rsidR="00833F1A" w:rsidRPr="00277AD1">
        <w:t xml:space="preserve"> </w:t>
      </w:r>
      <w:r w:rsidR="005A0E02" w:rsidRPr="00277AD1">
        <w:t>to be</w:t>
      </w:r>
      <w:r w:rsidR="00833F1A" w:rsidRPr="00277AD1">
        <w:t xml:space="preserve"> preferential</w:t>
      </w:r>
      <w:r w:rsidR="00F05DE0" w:rsidRPr="00277AD1">
        <w:t xml:space="preserve"> </w:t>
      </w:r>
      <w:r w:rsidR="002B5008" w:rsidRPr="00277AD1">
        <w:t>(i.e.</w:t>
      </w:r>
      <w:r w:rsidR="005A0E02" w:rsidRPr="00277AD1">
        <w:t>,</w:t>
      </w:r>
      <w:r w:rsidR="002B5008" w:rsidRPr="00277AD1">
        <w:t xml:space="preserve"> the gross operating margin (incremental) criterion) </w:t>
      </w:r>
      <w:r w:rsidR="007C664A" w:rsidRPr="00277AD1">
        <w:t xml:space="preserve">and </w:t>
      </w:r>
      <w:r w:rsidR="00735867" w:rsidRPr="00277AD1">
        <w:t xml:space="preserve">that, in any case, </w:t>
      </w:r>
      <w:r w:rsidR="00C225E8" w:rsidRPr="00277AD1">
        <w:t xml:space="preserve">the </w:t>
      </w:r>
      <w:r w:rsidR="00B47A87" w:rsidRPr="00277AD1">
        <w:t>appeal court</w:t>
      </w:r>
      <w:r w:rsidR="00217911" w:rsidRPr="00277AD1">
        <w:t xml:space="preserve"> </w:t>
      </w:r>
      <w:r w:rsidR="0052404B" w:rsidRPr="00277AD1">
        <w:t xml:space="preserve">had </w:t>
      </w:r>
      <w:r w:rsidR="008E09E0" w:rsidRPr="00277AD1">
        <w:t>not appl</w:t>
      </w:r>
      <w:r w:rsidR="0052404B" w:rsidRPr="00277AD1">
        <w:t xml:space="preserve">ied </w:t>
      </w:r>
      <w:r w:rsidR="008E09E0" w:rsidRPr="00277AD1">
        <w:t xml:space="preserve">the </w:t>
      </w:r>
      <w:r w:rsidR="00590E02" w:rsidRPr="00277AD1">
        <w:t xml:space="preserve">reasonable royalty </w:t>
      </w:r>
      <w:r w:rsidR="008E09E0" w:rsidRPr="00277AD1">
        <w:t>criterion</w:t>
      </w:r>
      <w:r w:rsidR="00783156" w:rsidRPr="00277AD1">
        <w:t xml:space="preserve"> properly</w:t>
      </w:r>
      <w:r w:rsidR="0052404B" w:rsidRPr="00277AD1">
        <w:t xml:space="preserve">. This because it had not </w:t>
      </w:r>
      <w:r w:rsidR="00F05DE0" w:rsidRPr="00277AD1">
        <w:t xml:space="preserve">increased the </w:t>
      </w:r>
      <w:r w:rsidR="003578D1" w:rsidRPr="00277AD1">
        <w:t>average</w:t>
      </w:r>
      <w:r w:rsidR="008C10AD" w:rsidRPr="00277AD1">
        <w:t xml:space="preserve"> (i.e., reasonable)</w:t>
      </w:r>
      <w:r w:rsidR="003578D1" w:rsidRPr="00277AD1">
        <w:t xml:space="preserve"> </w:t>
      </w:r>
      <w:r w:rsidR="00A71BDC" w:rsidRPr="00277AD1">
        <w:t>royalty</w:t>
      </w:r>
      <w:r w:rsidR="003578D1" w:rsidRPr="00277AD1">
        <w:t xml:space="preserve"> </w:t>
      </w:r>
      <w:r w:rsidR="00783156" w:rsidRPr="00277AD1">
        <w:t>rate</w:t>
      </w:r>
      <w:r w:rsidR="003578D1" w:rsidRPr="00277AD1">
        <w:t xml:space="preserve"> (</w:t>
      </w:r>
      <w:r w:rsidR="008515BC" w:rsidRPr="00277AD1">
        <w:t xml:space="preserve">in </w:t>
      </w:r>
      <w:r w:rsidR="0052404B" w:rsidRPr="00277AD1">
        <w:t xml:space="preserve">this </w:t>
      </w:r>
      <w:r w:rsidR="008515BC" w:rsidRPr="00277AD1">
        <w:t xml:space="preserve">case, </w:t>
      </w:r>
      <w:r w:rsidR="008C10AD" w:rsidRPr="00277AD1">
        <w:t xml:space="preserve">estimated at </w:t>
      </w:r>
      <w:r w:rsidR="003578D1" w:rsidRPr="00277AD1">
        <w:t>5%)</w:t>
      </w:r>
      <w:r w:rsidR="00A71BDC" w:rsidRPr="00277AD1">
        <w:t>,</w:t>
      </w:r>
      <w:r w:rsidR="008B3EDD" w:rsidRPr="00277AD1">
        <w:t xml:space="preserve"> </w:t>
      </w:r>
      <w:r w:rsidR="00F05DE0" w:rsidRPr="00277AD1">
        <w:t>thus substantially</w:t>
      </w:r>
      <w:r w:rsidR="004D2542" w:rsidRPr="00277AD1">
        <w:t xml:space="preserve"> equating </w:t>
      </w:r>
      <w:r w:rsidR="00F05DE0" w:rsidRPr="00277AD1">
        <w:t xml:space="preserve">Farid </w:t>
      </w:r>
      <w:proofErr w:type="spellStart"/>
      <w:r w:rsidR="00F05DE0" w:rsidRPr="00277AD1">
        <w:t>Industrie</w:t>
      </w:r>
      <w:proofErr w:type="spellEnd"/>
      <w:r w:rsidR="004D2542" w:rsidRPr="00277AD1">
        <w:t xml:space="preserve"> to a legitimate </w:t>
      </w:r>
      <w:r w:rsidR="0052404B" w:rsidRPr="00277AD1">
        <w:t>licensee</w:t>
      </w:r>
      <w:r w:rsidR="008224B6" w:rsidRPr="00277AD1">
        <w:t>.</w:t>
      </w:r>
      <w:r w:rsidR="00833F1A">
        <w:t xml:space="preserve"> </w:t>
      </w:r>
      <w:r w:rsidR="008224B6" w:rsidRPr="00CC031C">
        <w:t xml:space="preserve"> </w:t>
      </w:r>
    </w:p>
    <w:p w14:paraId="6B1EF28D" w14:textId="77777777" w:rsidR="00BA5C82" w:rsidRPr="00CC031C" w:rsidRDefault="00BA5C82" w:rsidP="00613FB5">
      <w:pPr>
        <w:spacing w:line="276" w:lineRule="auto"/>
      </w:pPr>
    </w:p>
    <w:p w14:paraId="0C504577" w14:textId="3909B10E" w:rsidR="00BD3D63" w:rsidRPr="00CC031C" w:rsidRDefault="00BD3D63" w:rsidP="00613FB5">
      <w:pPr>
        <w:spacing w:line="276" w:lineRule="auto"/>
      </w:pPr>
      <w:r w:rsidRPr="00CC031C">
        <w:t>Farid</w:t>
      </w:r>
      <w:r w:rsidR="00BF1834" w:rsidRPr="00CC031C">
        <w:t xml:space="preserve"> </w:t>
      </w:r>
      <w:proofErr w:type="spellStart"/>
      <w:r w:rsidR="00044008" w:rsidRPr="00CC031C">
        <w:t>Industrie</w:t>
      </w:r>
      <w:proofErr w:type="spellEnd"/>
      <w:r w:rsidR="0052404B" w:rsidRPr="00CC031C">
        <w:t xml:space="preserve"> </w:t>
      </w:r>
      <w:r w:rsidR="008B3EDD" w:rsidRPr="00CC031C">
        <w:t xml:space="preserve">also </w:t>
      </w:r>
      <w:r w:rsidR="0052404B" w:rsidRPr="00CC031C">
        <w:t>appealed the decision</w:t>
      </w:r>
      <w:r w:rsidRPr="00CC031C">
        <w:t xml:space="preserve"> </w:t>
      </w:r>
      <w:r w:rsidR="00F05DE0" w:rsidRPr="00CC031C">
        <w:t xml:space="preserve">for having found </w:t>
      </w:r>
      <w:r w:rsidRPr="00CC031C">
        <w:t xml:space="preserve">the </w:t>
      </w:r>
      <w:r w:rsidR="0052404B" w:rsidRPr="00CC031C">
        <w:t xml:space="preserve">patent </w:t>
      </w:r>
      <w:r w:rsidRPr="00CC031C">
        <w:t xml:space="preserve">valid. </w:t>
      </w:r>
    </w:p>
    <w:p w14:paraId="28A349BB" w14:textId="3A2A5842" w:rsidR="00B43268" w:rsidRPr="00CC031C" w:rsidRDefault="00B43268" w:rsidP="00613FB5">
      <w:pPr>
        <w:pStyle w:val="Lijstalinea"/>
        <w:spacing w:line="276" w:lineRule="auto"/>
        <w:ind w:left="0"/>
        <w:rPr>
          <w:b/>
          <w:bCs/>
        </w:rPr>
      </w:pPr>
    </w:p>
    <w:p w14:paraId="0588B2E6" w14:textId="4ADFE4C3" w:rsidR="00E01E26" w:rsidRPr="00CC031C" w:rsidRDefault="00C93CC4" w:rsidP="00613FB5">
      <w:pPr>
        <w:pStyle w:val="Lijstalinea"/>
        <w:spacing w:line="276" w:lineRule="auto"/>
        <w:ind w:left="0"/>
        <w:rPr>
          <w:b/>
          <w:bCs/>
        </w:rPr>
      </w:pPr>
      <w:r w:rsidRPr="00CC031C">
        <w:rPr>
          <w:b/>
          <w:bCs/>
        </w:rPr>
        <w:t xml:space="preserve">The </w:t>
      </w:r>
      <w:r w:rsidR="00E01E26" w:rsidRPr="00CC031C">
        <w:rPr>
          <w:b/>
          <w:bCs/>
        </w:rPr>
        <w:t xml:space="preserve">Supreme Court decision </w:t>
      </w:r>
    </w:p>
    <w:p w14:paraId="0423A29D" w14:textId="77777777" w:rsidR="00BA5C82" w:rsidRPr="00CC031C" w:rsidRDefault="00BA5C82" w:rsidP="00613FB5">
      <w:pPr>
        <w:spacing w:line="276" w:lineRule="auto"/>
      </w:pPr>
    </w:p>
    <w:p w14:paraId="008AC5A4" w14:textId="34DF18EB" w:rsidR="003B4539" w:rsidRPr="0044489A" w:rsidRDefault="003B4539" w:rsidP="00613FB5">
      <w:pPr>
        <w:spacing w:line="276" w:lineRule="auto"/>
      </w:pPr>
      <w:r w:rsidRPr="00CC031C">
        <w:t xml:space="preserve">The </w:t>
      </w:r>
      <w:r w:rsidR="00C033F1" w:rsidRPr="00CC031C">
        <w:t xml:space="preserve">Supreme </w:t>
      </w:r>
      <w:r w:rsidRPr="0044489A">
        <w:t>Court, after having confirmed</w:t>
      </w:r>
      <w:r w:rsidR="008F35A0" w:rsidRPr="0044489A">
        <w:t xml:space="preserve"> that the</w:t>
      </w:r>
      <w:r w:rsidRPr="0044489A">
        <w:t xml:space="preserve"> </w:t>
      </w:r>
      <w:r w:rsidR="008B3EDD" w:rsidRPr="0044489A">
        <w:t xml:space="preserve">patent </w:t>
      </w:r>
      <w:r w:rsidRPr="0044489A">
        <w:t>satisfie</w:t>
      </w:r>
      <w:r w:rsidR="00D940CC" w:rsidRPr="0044489A">
        <w:t>d</w:t>
      </w:r>
      <w:r w:rsidRPr="0044489A">
        <w:t xml:space="preserve"> the patentability requirements</w:t>
      </w:r>
      <w:r w:rsidR="00D940CC" w:rsidRPr="0044489A">
        <w:t>,</w:t>
      </w:r>
      <w:r w:rsidRPr="0044489A">
        <w:t xml:space="preserve"> examined the issues related to</w:t>
      </w:r>
      <w:r w:rsidR="00B946E8" w:rsidRPr="0044489A">
        <w:t xml:space="preserve"> criteria</w:t>
      </w:r>
      <w:r w:rsidR="0030251F" w:rsidRPr="0044489A">
        <w:t xml:space="preserve"> </w:t>
      </w:r>
      <w:r w:rsidR="008B3EDD" w:rsidRPr="0044489A">
        <w:t>to calculate the</w:t>
      </w:r>
      <w:r w:rsidRPr="0044489A">
        <w:t xml:space="preserve"> damages. </w:t>
      </w:r>
    </w:p>
    <w:p w14:paraId="27CC48B7" w14:textId="77777777" w:rsidR="003B4539" w:rsidRPr="0044489A" w:rsidRDefault="003B4539" w:rsidP="00613FB5">
      <w:pPr>
        <w:spacing w:line="276" w:lineRule="auto"/>
      </w:pPr>
    </w:p>
    <w:p w14:paraId="5FCAEF72" w14:textId="0E42548B" w:rsidR="00E01E26" w:rsidRPr="0044489A" w:rsidRDefault="008515BC" w:rsidP="00613FB5">
      <w:pPr>
        <w:spacing w:line="276" w:lineRule="auto"/>
      </w:pPr>
      <w:r w:rsidRPr="0044489A">
        <w:t xml:space="preserve">The Court found that the </w:t>
      </w:r>
      <w:r w:rsidR="00B47A87">
        <w:t>appeal court</w:t>
      </w:r>
      <w:r w:rsidR="008B3EDD" w:rsidRPr="0044489A">
        <w:t xml:space="preserve"> had indeed not applied</w:t>
      </w:r>
      <w:r w:rsidRPr="0044489A">
        <w:t xml:space="preserve"> Art</w:t>
      </w:r>
      <w:r w:rsidR="008B3EDD" w:rsidRPr="0044489A">
        <w:t>.</w:t>
      </w:r>
      <w:r w:rsidRPr="0044489A">
        <w:t xml:space="preserve"> 125 </w:t>
      </w:r>
      <w:r w:rsidR="00D3030A" w:rsidRPr="0044489A">
        <w:t>IPC</w:t>
      </w:r>
      <w:r w:rsidRPr="0044489A">
        <w:t xml:space="preserve"> properly.</w:t>
      </w:r>
    </w:p>
    <w:p w14:paraId="42C58BEE" w14:textId="77777777" w:rsidR="00E01E26" w:rsidRPr="0044489A" w:rsidRDefault="00E01E26" w:rsidP="00613FB5">
      <w:pPr>
        <w:spacing w:line="276" w:lineRule="auto"/>
      </w:pPr>
    </w:p>
    <w:p w14:paraId="06AB09F9" w14:textId="14515F77" w:rsidR="00A10F31" w:rsidRPr="00277AD1" w:rsidRDefault="008B3EDD" w:rsidP="00613FB5">
      <w:pPr>
        <w:spacing w:line="276" w:lineRule="auto"/>
      </w:pPr>
      <w:r w:rsidRPr="00277AD1">
        <w:t>The</w:t>
      </w:r>
      <w:r w:rsidR="00B94438" w:rsidRPr="00277AD1">
        <w:t xml:space="preserve"> Court </w:t>
      </w:r>
      <w:r w:rsidRPr="00277AD1">
        <w:t xml:space="preserve">first </w:t>
      </w:r>
      <w:r w:rsidR="00B94438" w:rsidRPr="00277AD1">
        <w:t xml:space="preserve">noted that </w:t>
      </w:r>
      <w:r w:rsidR="003D74CE" w:rsidRPr="00277AD1">
        <w:t>A</w:t>
      </w:r>
      <w:r w:rsidR="00B10533" w:rsidRPr="00277AD1">
        <w:t>rt</w:t>
      </w:r>
      <w:r w:rsidRPr="00277AD1">
        <w:t xml:space="preserve">. </w:t>
      </w:r>
      <w:r w:rsidR="00B10533" w:rsidRPr="00277AD1">
        <w:t>125</w:t>
      </w:r>
      <w:r w:rsidR="003D74CE" w:rsidRPr="00277AD1">
        <w:t xml:space="preserve"> </w:t>
      </w:r>
      <w:r w:rsidR="00D3030A" w:rsidRPr="00277AD1">
        <w:t>IPC</w:t>
      </w:r>
      <w:r w:rsidRPr="00277AD1">
        <w:t xml:space="preserve"> refers </w:t>
      </w:r>
      <w:r w:rsidR="003D74CE" w:rsidRPr="00277AD1">
        <w:t xml:space="preserve">explicitly to </w:t>
      </w:r>
      <w:r w:rsidRPr="00277AD1">
        <w:t xml:space="preserve">Art. </w:t>
      </w:r>
      <w:r w:rsidR="003D74CE" w:rsidRPr="00277AD1">
        <w:t>1226 of the Italian Civil Code</w:t>
      </w:r>
      <w:r w:rsidRPr="00277AD1">
        <w:t xml:space="preserve"> and thus allows</w:t>
      </w:r>
      <w:r w:rsidR="003D74CE" w:rsidRPr="00277AD1">
        <w:t xml:space="preserve"> damages </w:t>
      </w:r>
      <w:r w:rsidRPr="00277AD1">
        <w:t xml:space="preserve">to be calculated </w:t>
      </w:r>
      <w:r w:rsidR="003D74CE" w:rsidRPr="00277AD1">
        <w:t xml:space="preserve">on an equitable basis. </w:t>
      </w:r>
    </w:p>
    <w:p w14:paraId="40CBC4C9" w14:textId="77777777" w:rsidR="008B3EDD" w:rsidRPr="00277AD1" w:rsidRDefault="008B3EDD" w:rsidP="00613FB5">
      <w:pPr>
        <w:spacing w:line="276" w:lineRule="auto"/>
      </w:pPr>
    </w:p>
    <w:p w14:paraId="45767CEE" w14:textId="723FB405" w:rsidR="007A6544" w:rsidRPr="00277AD1" w:rsidRDefault="0030170F" w:rsidP="00613FB5">
      <w:pPr>
        <w:spacing w:line="276" w:lineRule="auto"/>
      </w:pPr>
      <w:r w:rsidRPr="00277AD1">
        <w:t>Art. 125(1)</w:t>
      </w:r>
      <w:r w:rsidR="003D74CE" w:rsidRPr="00277AD1">
        <w:t xml:space="preserve"> </w:t>
      </w:r>
      <w:r w:rsidR="008B3EDD" w:rsidRPr="00277AD1">
        <w:t xml:space="preserve">IPC </w:t>
      </w:r>
      <w:r w:rsidR="00F426DD" w:rsidRPr="00277AD1">
        <w:t>(</w:t>
      </w:r>
      <w:r w:rsidR="005A0E02" w:rsidRPr="00277AD1">
        <w:t xml:space="preserve">which </w:t>
      </w:r>
      <w:r w:rsidR="00BB51B6">
        <w:t>implements</w:t>
      </w:r>
      <w:r w:rsidR="00BB51B6" w:rsidRPr="00277AD1">
        <w:t xml:space="preserve"> </w:t>
      </w:r>
      <w:r w:rsidR="00F426DD" w:rsidRPr="00277AD1">
        <w:t>Art. 13</w:t>
      </w:r>
      <w:r w:rsidR="005A0E02" w:rsidRPr="00277AD1">
        <w:t>(</w:t>
      </w:r>
      <w:r w:rsidR="00F426DD" w:rsidRPr="00277AD1">
        <w:t>1</w:t>
      </w:r>
      <w:r w:rsidR="005A0E02" w:rsidRPr="00277AD1">
        <w:t>)(</w:t>
      </w:r>
      <w:r w:rsidR="00F426DD" w:rsidRPr="00277AD1">
        <w:t xml:space="preserve">a) of the Enforcement Directive) </w:t>
      </w:r>
      <w:r w:rsidR="008B3EDD" w:rsidRPr="00277AD1">
        <w:t xml:space="preserve">lists </w:t>
      </w:r>
      <w:r w:rsidR="003E540D" w:rsidRPr="00277AD1">
        <w:t xml:space="preserve">several </w:t>
      </w:r>
      <w:r w:rsidR="005D5FF5" w:rsidRPr="00277AD1">
        <w:lastRenderedPageBreak/>
        <w:t xml:space="preserve">aspects </w:t>
      </w:r>
      <w:r w:rsidR="003D74CE" w:rsidRPr="00277AD1">
        <w:t xml:space="preserve">to be </w:t>
      </w:r>
      <w:r w:rsidR="008B3EDD" w:rsidRPr="00277AD1">
        <w:t>taken into account</w:t>
      </w:r>
      <w:r w:rsidR="003D74CE" w:rsidRPr="00277AD1">
        <w:t xml:space="preserve"> </w:t>
      </w:r>
      <w:r w:rsidR="003E540D" w:rsidRPr="00277AD1">
        <w:t>in the calculation of</w:t>
      </w:r>
      <w:r w:rsidR="003D74CE" w:rsidRPr="00277AD1">
        <w:t xml:space="preserve"> damages, </w:t>
      </w:r>
      <w:r w:rsidR="008B3EDD" w:rsidRPr="00277AD1">
        <w:t>e.g.,</w:t>
      </w:r>
      <w:r w:rsidR="003D74CE" w:rsidRPr="00277AD1">
        <w:t xml:space="preserve"> negative economic consequences, including lost profits suffered by the </w:t>
      </w:r>
      <w:proofErr w:type="spellStart"/>
      <w:r w:rsidR="003D74CE" w:rsidRPr="00277AD1">
        <w:t>rightholder</w:t>
      </w:r>
      <w:proofErr w:type="spellEnd"/>
      <w:r w:rsidR="00B10533" w:rsidRPr="00277AD1">
        <w:t xml:space="preserve"> </w:t>
      </w:r>
      <w:r w:rsidR="003D74CE" w:rsidRPr="00277AD1">
        <w:t xml:space="preserve">and </w:t>
      </w:r>
      <w:r w:rsidR="007B61A9" w:rsidRPr="00277AD1">
        <w:t xml:space="preserve">any </w:t>
      </w:r>
      <w:r w:rsidR="003D74CE" w:rsidRPr="00277AD1">
        <w:t>unfair profits made by the infringer</w:t>
      </w:r>
      <w:r w:rsidR="00B10533" w:rsidRPr="00277AD1">
        <w:t xml:space="preserve">, </w:t>
      </w:r>
      <w:r w:rsidR="003D74CE" w:rsidRPr="00277AD1">
        <w:t>and</w:t>
      </w:r>
      <w:r w:rsidR="00B10533" w:rsidRPr="00277AD1">
        <w:t xml:space="preserve">, in appropriate cases, </w:t>
      </w:r>
      <w:r w:rsidR="003D74CE" w:rsidRPr="00277AD1">
        <w:t xml:space="preserve">non-economic </w:t>
      </w:r>
      <w:r w:rsidR="00B946E8" w:rsidRPr="00277AD1">
        <w:t xml:space="preserve">aspects </w:t>
      </w:r>
      <w:r w:rsidR="003D74CE" w:rsidRPr="00277AD1">
        <w:t xml:space="preserve">such as moral damage. </w:t>
      </w:r>
    </w:p>
    <w:p w14:paraId="0D3B81AA" w14:textId="77777777" w:rsidR="00BA5C82" w:rsidRPr="00277AD1" w:rsidRDefault="00BA5C82" w:rsidP="00613FB5">
      <w:pPr>
        <w:spacing w:line="276" w:lineRule="auto"/>
      </w:pPr>
    </w:p>
    <w:p w14:paraId="612885A9" w14:textId="53773ED1" w:rsidR="007A6544" w:rsidRPr="00277AD1" w:rsidRDefault="008B3EDD" w:rsidP="00613FB5">
      <w:pPr>
        <w:spacing w:line="276" w:lineRule="auto"/>
      </w:pPr>
      <w:r w:rsidRPr="00277AD1">
        <w:t xml:space="preserve">Art. </w:t>
      </w:r>
      <w:r w:rsidR="003D74CE" w:rsidRPr="00277AD1">
        <w:t>125</w:t>
      </w:r>
      <w:r w:rsidR="008C10AD" w:rsidRPr="00277AD1">
        <w:t>(2)</w:t>
      </w:r>
      <w:r w:rsidR="003D74CE" w:rsidRPr="00277AD1">
        <w:t xml:space="preserve"> </w:t>
      </w:r>
      <w:r w:rsidR="00F426DD" w:rsidRPr="00277AD1">
        <w:t>IPC (</w:t>
      </w:r>
      <w:r w:rsidR="005A0E02" w:rsidRPr="00277AD1">
        <w:t xml:space="preserve">which </w:t>
      </w:r>
      <w:r w:rsidR="00BB51B6">
        <w:t>implements</w:t>
      </w:r>
      <w:r w:rsidR="00F426DD" w:rsidRPr="00277AD1">
        <w:t xml:space="preserve"> Art. 13</w:t>
      </w:r>
      <w:r w:rsidR="003E4F24" w:rsidRPr="00277AD1">
        <w:t>(</w:t>
      </w:r>
      <w:r w:rsidR="00F426DD" w:rsidRPr="00277AD1">
        <w:t>1</w:t>
      </w:r>
      <w:r w:rsidR="003E4F24" w:rsidRPr="00277AD1">
        <w:t>)(</w:t>
      </w:r>
      <w:r w:rsidR="00F426DD" w:rsidRPr="00277AD1">
        <w:t xml:space="preserve">b) of the Enforcement Directive) </w:t>
      </w:r>
      <w:r w:rsidRPr="00277AD1">
        <w:t>stipulates</w:t>
      </w:r>
      <w:r w:rsidR="003D74CE" w:rsidRPr="00277AD1">
        <w:t xml:space="preserve"> that </w:t>
      </w:r>
      <w:r w:rsidR="007B61A9" w:rsidRPr="00277AD1">
        <w:t>damages</w:t>
      </w:r>
      <w:r w:rsidR="003D74CE" w:rsidRPr="00277AD1">
        <w:t xml:space="preserve"> </w:t>
      </w:r>
      <w:r w:rsidR="00B10533" w:rsidRPr="00277AD1">
        <w:t>may</w:t>
      </w:r>
      <w:r w:rsidR="003D74CE" w:rsidRPr="00277AD1">
        <w:t xml:space="preserve"> be set as a lump su</w:t>
      </w:r>
      <w:r w:rsidR="008E6943" w:rsidRPr="00277AD1">
        <w:t>m</w:t>
      </w:r>
      <w:r w:rsidR="00DC2B09" w:rsidRPr="00277AD1">
        <w:t xml:space="preserve">, which </w:t>
      </w:r>
      <w:r w:rsidR="003D74CE" w:rsidRPr="00277AD1">
        <w:t>must be no less than the amount of royalties the infringer would have had to pay if the infringer had a licence from the patentee</w:t>
      </w:r>
      <w:r w:rsidR="007A6544" w:rsidRPr="00277AD1">
        <w:t xml:space="preserve"> (“reasonable royalty”)</w:t>
      </w:r>
      <w:r w:rsidR="00DC2B09" w:rsidRPr="00277AD1">
        <w:t xml:space="preserve">. </w:t>
      </w:r>
      <w:r w:rsidR="00BA0E90" w:rsidRPr="00277AD1">
        <w:t>Interestingly</w:t>
      </w:r>
      <w:r w:rsidR="003E4F24" w:rsidRPr="00277AD1">
        <w:t>,</w:t>
      </w:r>
      <w:r w:rsidR="00BA0E90" w:rsidRPr="00277AD1">
        <w:t xml:space="preserve"> t</w:t>
      </w:r>
      <w:r w:rsidR="00C033F1" w:rsidRPr="00277AD1">
        <w:t>he</w:t>
      </w:r>
      <w:r w:rsidR="00B63AAA" w:rsidRPr="00277AD1">
        <w:t xml:space="preserve"> Court </w:t>
      </w:r>
      <w:r w:rsidR="00C033F1" w:rsidRPr="00277AD1">
        <w:t>noted that</w:t>
      </w:r>
      <w:r w:rsidR="00B63AAA" w:rsidRPr="00277AD1">
        <w:t xml:space="preserve"> </w:t>
      </w:r>
      <w:r w:rsidR="00C033F1" w:rsidRPr="00277AD1">
        <w:t>Art. 125(2) IPC</w:t>
      </w:r>
      <w:r w:rsidR="00C033F1" w:rsidRPr="00277AD1" w:rsidDel="00C033F1">
        <w:t xml:space="preserve"> </w:t>
      </w:r>
      <w:r w:rsidR="00C033F1" w:rsidRPr="00277AD1">
        <w:t xml:space="preserve">establishes </w:t>
      </w:r>
      <w:r w:rsidR="0018187F" w:rsidRPr="00277AD1">
        <w:t xml:space="preserve">a </w:t>
      </w:r>
      <w:r w:rsidR="00C033F1" w:rsidRPr="00277AD1">
        <w:t xml:space="preserve">special rule for when lost profits cannot be proven </w:t>
      </w:r>
      <w:r w:rsidR="00FB413B" w:rsidRPr="00277AD1">
        <w:t xml:space="preserve">“of equitable assessment, allowing the court to calculate the damages in an overall sum established based on the </w:t>
      </w:r>
      <w:r w:rsidR="007A6544" w:rsidRPr="00277AD1">
        <w:t>files of the case and the presumptions deriving therefrom</w:t>
      </w:r>
      <w:r w:rsidR="00C033F1" w:rsidRPr="00277AD1">
        <w:t>”</w:t>
      </w:r>
      <w:r w:rsidR="00BA0E90" w:rsidRPr="00277AD1">
        <w:t>, and t</w:t>
      </w:r>
      <w:r w:rsidR="0036229C" w:rsidRPr="00277AD1">
        <w:t xml:space="preserve">he patentee </w:t>
      </w:r>
      <w:r w:rsidR="00C033F1" w:rsidRPr="00277AD1">
        <w:t xml:space="preserve">does not have </w:t>
      </w:r>
      <w:r w:rsidR="0036229C" w:rsidRPr="00277AD1">
        <w:t xml:space="preserve">to prove the exact </w:t>
      </w:r>
      <w:r w:rsidR="00C033F1" w:rsidRPr="00277AD1">
        <w:t xml:space="preserve">amount of royalties </w:t>
      </w:r>
      <w:r w:rsidR="0036229C" w:rsidRPr="00277AD1">
        <w:t>the infringer</w:t>
      </w:r>
      <w:r w:rsidR="00475547" w:rsidRPr="00277AD1">
        <w:t xml:space="preserve"> </w:t>
      </w:r>
      <w:r w:rsidR="009B4A04" w:rsidRPr="00277AD1">
        <w:t xml:space="preserve">would owe </w:t>
      </w:r>
      <w:r w:rsidR="00475547" w:rsidRPr="00277AD1">
        <w:t xml:space="preserve">in a hypothetical </w:t>
      </w:r>
      <w:r w:rsidR="00BA1FAE" w:rsidRPr="00277AD1">
        <w:t>deal</w:t>
      </w:r>
      <w:r w:rsidR="0036229C" w:rsidRPr="00277AD1">
        <w:t xml:space="preserve">, </w:t>
      </w:r>
      <w:r w:rsidR="00DC2B09" w:rsidRPr="00277AD1">
        <w:t xml:space="preserve">as </w:t>
      </w:r>
      <w:r w:rsidR="007A6544" w:rsidRPr="00277AD1">
        <w:t>the reasonable royalty</w:t>
      </w:r>
      <w:r w:rsidR="00DC2B09" w:rsidRPr="00277AD1">
        <w:t xml:space="preserve"> does not represent the damage actually suffered by the </w:t>
      </w:r>
      <w:r w:rsidR="0036229C" w:rsidRPr="00277AD1">
        <w:t xml:space="preserve">patentee </w:t>
      </w:r>
      <w:r w:rsidR="00DC2B09" w:rsidRPr="00277AD1">
        <w:t xml:space="preserve">but a </w:t>
      </w:r>
      <w:r w:rsidR="0078109D" w:rsidRPr="00277AD1">
        <w:t>“</w:t>
      </w:r>
      <w:r w:rsidR="00B94438" w:rsidRPr="00277AD1">
        <w:t>mandatory</w:t>
      </w:r>
      <w:r w:rsidR="00DC2B09" w:rsidRPr="00277AD1">
        <w:t xml:space="preserve"> minimum</w:t>
      </w:r>
      <w:r w:rsidR="0078109D" w:rsidRPr="00277AD1">
        <w:t>”</w:t>
      </w:r>
      <w:r w:rsidR="00B10533" w:rsidRPr="00277AD1">
        <w:t>.</w:t>
      </w:r>
      <w:r w:rsidR="003D74CE" w:rsidRPr="00277AD1">
        <w:t xml:space="preserve"> </w:t>
      </w:r>
    </w:p>
    <w:p w14:paraId="0443FAFC" w14:textId="77777777" w:rsidR="00BA5C82" w:rsidRPr="00277AD1" w:rsidRDefault="00BA5C82" w:rsidP="00613FB5">
      <w:pPr>
        <w:spacing w:line="276" w:lineRule="auto"/>
      </w:pPr>
    </w:p>
    <w:p w14:paraId="43C482F8" w14:textId="46492001" w:rsidR="003D74CE" w:rsidRPr="00277AD1" w:rsidRDefault="00B10533" w:rsidP="00613FB5">
      <w:pPr>
        <w:spacing w:line="276" w:lineRule="auto"/>
      </w:pPr>
      <w:r w:rsidRPr="00277AD1">
        <w:t xml:space="preserve">Lastly, </w:t>
      </w:r>
      <w:r w:rsidR="00C033F1" w:rsidRPr="00277AD1">
        <w:t xml:space="preserve">Art. </w:t>
      </w:r>
      <w:r w:rsidRPr="00277AD1">
        <w:t>125</w:t>
      </w:r>
      <w:r w:rsidR="00BA1FAE" w:rsidRPr="00277AD1">
        <w:t>(3)</w:t>
      </w:r>
      <w:r w:rsidRPr="00277AD1">
        <w:t xml:space="preserve"> </w:t>
      </w:r>
      <w:r w:rsidR="00D3030A" w:rsidRPr="00277AD1">
        <w:t>IPC</w:t>
      </w:r>
      <w:r w:rsidRPr="00277AD1">
        <w:t xml:space="preserve"> </w:t>
      </w:r>
      <w:r w:rsidR="00F426DD" w:rsidRPr="00277AD1">
        <w:t>(</w:t>
      </w:r>
      <w:r w:rsidR="003E4F24" w:rsidRPr="00277AD1">
        <w:t xml:space="preserve">which </w:t>
      </w:r>
      <w:r w:rsidR="00BB51B6">
        <w:t>implements</w:t>
      </w:r>
      <w:r w:rsidR="00F426DD" w:rsidRPr="00277AD1">
        <w:t xml:space="preserve"> Art. 13</w:t>
      </w:r>
      <w:r w:rsidR="003E4F24" w:rsidRPr="00277AD1">
        <w:t>(</w:t>
      </w:r>
      <w:r w:rsidR="00F426DD" w:rsidRPr="00277AD1">
        <w:t>2</w:t>
      </w:r>
      <w:r w:rsidR="003E4F24" w:rsidRPr="00277AD1">
        <w:t>)</w:t>
      </w:r>
      <w:r w:rsidR="00F426DD" w:rsidRPr="00277AD1">
        <w:t xml:space="preserve"> of the Enforcement Directive) </w:t>
      </w:r>
      <w:r w:rsidR="00C033F1" w:rsidRPr="00277AD1">
        <w:t>establishes</w:t>
      </w:r>
      <w:r w:rsidRPr="00277AD1">
        <w:t xml:space="preserve">, as a further criterion, </w:t>
      </w:r>
      <w:r w:rsidR="00475547" w:rsidRPr="00277AD1">
        <w:t xml:space="preserve">that the patentee may </w:t>
      </w:r>
      <w:r w:rsidRPr="00277AD1">
        <w:t>“in any case”</w:t>
      </w:r>
      <w:r w:rsidR="00475547" w:rsidRPr="00277AD1">
        <w:t xml:space="preserve"> </w:t>
      </w:r>
      <w:r w:rsidR="00D755DE" w:rsidRPr="00277AD1">
        <w:t>seek</w:t>
      </w:r>
      <w:r w:rsidRPr="00277AD1">
        <w:t xml:space="preserve"> recovery of </w:t>
      </w:r>
      <w:r w:rsidR="007A6544" w:rsidRPr="00277AD1">
        <w:t xml:space="preserve">the </w:t>
      </w:r>
      <w:r w:rsidRPr="00277AD1">
        <w:t>profits</w:t>
      </w:r>
      <w:r w:rsidR="007A6544" w:rsidRPr="00277AD1">
        <w:t xml:space="preserve"> made by the infringer</w:t>
      </w:r>
      <w:r w:rsidRPr="00277AD1">
        <w:t>,</w:t>
      </w:r>
      <w:r w:rsidR="00475547" w:rsidRPr="00277AD1">
        <w:t xml:space="preserve"> </w:t>
      </w:r>
      <w:r w:rsidR="003D74CE" w:rsidRPr="00277AD1">
        <w:t>either as an alternative to compensation for the loss of profits or to the extent they exceed that compensation</w:t>
      </w:r>
      <w:r w:rsidRPr="00277AD1">
        <w:t>.</w:t>
      </w:r>
      <w:r w:rsidR="00636B3F" w:rsidRPr="00277AD1">
        <w:t xml:space="preserve"> </w:t>
      </w:r>
      <w:r w:rsidR="00BB4122" w:rsidRPr="00277AD1">
        <w:t>As</w:t>
      </w:r>
      <w:r w:rsidR="00636B3F" w:rsidRPr="00277AD1">
        <w:t xml:space="preserve"> </w:t>
      </w:r>
      <w:r w:rsidR="00C033F1" w:rsidRPr="00277AD1">
        <w:t>the</w:t>
      </w:r>
      <w:r w:rsidR="00BB4122" w:rsidRPr="00277AD1">
        <w:t xml:space="preserve"> Court</w:t>
      </w:r>
      <w:r w:rsidR="00C033F1" w:rsidRPr="00277AD1">
        <w:t xml:space="preserve"> pointed out</w:t>
      </w:r>
      <w:r w:rsidR="00636B3F" w:rsidRPr="00277AD1">
        <w:t xml:space="preserve">, </w:t>
      </w:r>
      <w:r w:rsidR="00BB4122" w:rsidRPr="00277AD1">
        <w:t>this is</w:t>
      </w:r>
      <w:r w:rsidR="00636B3F" w:rsidRPr="00277AD1">
        <w:t xml:space="preserve"> </w:t>
      </w:r>
      <w:r w:rsidR="00FE0DBC" w:rsidRPr="00277AD1">
        <w:t xml:space="preserve">another form of </w:t>
      </w:r>
      <w:r w:rsidR="00BB4122" w:rsidRPr="00277AD1">
        <w:t xml:space="preserve">lump-sum </w:t>
      </w:r>
      <w:r w:rsidR="00636B3F" w:rsidRPr="00277AD1">
        <w:t>compensation</w:t>
      </w:r>
      <w:r w:rsidR="00BB4122" w:rsidRPr="00277AD1">
        <w:t>,</w:t>
      </w:r>
      <w:r w:rsidR="00636B3F" w:rsidRPr="00277AD1">
        <w:t xml:space="preserve"> </w:t>
      </w:r>
      <w:r w:rsidR="00100EC2" w:rsidRPr="00277AD1">
        <w:t xml:space="preserve">which </w:t>
      </w:r>
      <w:r w:rsidR="00B63AAA" w:rsidRPr="00277AD1">
        <w:t xml:space="preserve">performs not a </w:t>
      </w:r>
      <w:r w:rsidR="00636B3F" w:rsidRPr="00277AD1">
        <w:t>mere reparative or compensatory</w:t>
      </w:r>
      <w:r w:rsidR="00BB4122" w:rsidRPr="00277AD1">
        <w:t xml:space="preserve"> function</w:t>
      </w:r>
      <w:r w:rsidR="000C22A0" w:rsidRPr="00277AD1">
        <w:t xml:space="preserve"> </w:t>
      </w:r>
      <w:r w:rsidR="00B63AAA" w:rsidRPr="00277AD1">
        <w:t>but</w:t>
      </w:r>
      <w:r w:rsidR="00BB4122" w:rsidRPr="00277AD1">
        <w:t xml:space="preserve"> </w:t>
      </w:r>
      <w:r w:rsidR="000C22A0" w:rsidRPr="00277AD1">
        <w:t>“</w:t>
      </w:r>
      <w:r w:rsidR="00636B3F" w:rsidRPr="00277AD1">
        <w:t xml:space="preserve">if not properly </w:t>
      </w:r>
      <w:r w:rsidR="000C22A0" w:rsidRPr="00277AD1">
        <w:t xml:space="preserve">a </w:t>
      </w:r>
      <w:r w:rsidR="00636B3F" w:rsidRPr="00277AD1">
        <w:t>sanctioning</w:t>
      </w:r>
      <w:r w:rsidR="000C22A0" w:rsidRPr="00277AD1">
        <w:t xml:space="preserve"> function</w:t>
      </w:r>
      <w:r w:rsidR="00636B3F" w:rsidRPr="00277AD1">
        <w:t>,</w:t>
      </w:r>
      <w:r w:rsidR="000C22A0" w:rsidRPr="00277AD1">
        <w:t xml:space="preserve"> a function</w:t>
      </w:r>
      <w:r w:rsidR="00636B3F" w:rsidRPr="00277AD1">
        <w:t xml:space="preserve"> </w:t>
      </w:r>
      <w:r w:rsidR="00D755DE" w:rsidRPr="00277AD1">
        <w:t>aimed at least at preventing</w:t>
      </w:r>
      <w:r w:rsidR="00636B3F" w:rsidRPr="00277AD1">
        <w:t xml:space="preserve"> the infringer enrich</w:t>
      </w:r>
      <w:r w:rsidR="00100EC2" w:rsidRPr="00277AD1">
        <w:t>ing its</w:t>
      </w:r>
      <w:r w:rsidR="00636B3F" w:rsidRPr="00277AD1">
        <w:t xml:space="preserve">elf through the </w:t>
      </w:r>
      <w:r w:rsidR="000C22A0" w:rsidRPr="00277AD1">
        <w:t>unlawful</w:t>
      </w:r>
      <w:r w:rsidR="00636B3F" w:rsidRPr="00277AD1">
        <w:t xml:space="preserve"> exploitation of </w:t>
      </w:r>
      <w:r w:rsidR="0030170F" w:rsidRPr="00277AD1">
        <w:t xml:space="preserve">a </w:t>
      </w:r>
      <w:r w:rsidR="000C22A0" w:rsidRPr="00277AD1">
        <w:t xml:space="preserve">third party’s </w:t>
      </w:r>
      <w:r w:rsidR="00100EC2" w:rsidRPr="00277AD1">
        <w:t>IP</w:t>
      </w:r>
      <w:r w:rsidR="00636B3F" w:rsidRPr="00277AD1">
        <w:t xml:space="preserve"> right</w:t>
      </w:r>
      <w:r w:rsidR="000C22A0" w:rsidRPr="00277AD1">
        <w:t>”</w:t>
      </w:r>
      <w:r w:rsidR="00FE0DBC" w:rsidRPr="00277AD1">
        <w:t>.</w:t>
      </w:r>
    </w:p>
    <w:p w14:paraId="2F70D2BD" w14:textId="77777777" w:rsidR="00B10533" w:rsidRPr="00277AD1" w:rsidRDefault="00B10533" w:rsidP="00613FB5">
      <w:pPr>
        <w:spacing w:line="276" w:lineRule="auto"/>
      </w:pPr>
    </w:p>
    <w:p w14:paraId="7591817F" w14:textId="55351DE9" w:rsidR="0000076D" w:rsidRPr="00277AD1" w:rsidRDefault="006530DE" w:rsidP="00613FB5">
      <w:pPr>
        <w:spacing w:line="276" w:lineRule="auto"/>
      </w:pPr>
      <w:r w:rsidRPr="00277AD1">
        <w:t xml:space="preserve">The Court noted that </w:t>
      </w:r>
      <w:proofErr w:type="spellStart"/>
      <w:r w:rsidR="00100EC2" w:rsidRPr="00277AD1">
        <w:t>Ca</w:t>
      </w:r>
      <w:r w:rsidR="0030170F" w:rsidRPr="00277AD1">
        <w:t>p</w:t>
      </w:r>
      <w:r w:rsidR="00100EC2" w:rsidRPr="00277AD1">
        <w:t>pellotto</w:t>
      </w:r>
      <w:proofErr w:type="spellEnd"/>
      <w:r w:rsidR="00E77BF0" w:rsidRPr="00277AD1">
        <w:t xml:space="preserve"> </w:t>
      </w:r>
      <w:r w:rsidR="003E4F24" w:rsidRPr="00277AD1">
        <w:t xml:space="preserve">had </w:t>
      </w:r>
      <w:r w:rsidR="00E77BF0" w:rsidRPr="00277AD1">
        <w:t>proposed a reasonable alternative criterion</w:t>
      </w:r>
      <w:r w:rsidR="00100EC2" w:rsidRPr="00277AD1">
        <w:t xml:space="preserve">, i.e., </w:t>
      </w:r>
      <w:r w:rsidR="00706FCA" w:rsidRPr="00277AD1">
        <w:t xml:space="preserve">application of its </w:t>
      </w:r>
      <w:bookmarkStart w:id="0" w:name="_Hlk80862280"/>
      <w:r w:rsidR="00706FCA" w:rsidRPr="00277AD1">
        <w:t>gross operating margin</w:t>
      </w:r>
      <w:r w:rsidRPr="00277AD1">
        <w:t xml:space="preserve"> (</w:t>
      </w:r>
      <w:r w:rsidR="00706FCA" w:rsidRPr="00277AD1">
        <w:t>incremental</w:t>
      </w:r>
      <w:r w:rsidRPr="00277AD1">
        <w:t>)</w:t>
      </w:r>
      <w:r w:rsidR="00E77BF0" w:rsidRPr="00277AD1">
        <w:t xml:space="preserve">, </w:t>
      </w:r>
      <w:r w:rsidR="00580CFB" w:rsidRPr="00277AD1">
        <w:t xml:space="preserve">which </w:t>
      </w:r>
      <w:r w:rsidR="003E4F24" w:rsidRPr="00277AD1">
        <w:t xml:space="preserve">– </w:t>
      </w:r>
      <w:r w:rsidR="00580CFB" w:rsidRPr="00277AD1">
        <w:t>a</w:t>
      </w:r>
      <w:r w:rsidR="00DA5A46" w:rsidRPr="00277AD1">
        <w:t>ccording to the Court</w:t>
      </w:r>
      <w:r w:rsidR="003E4F24" w:rsidRPr="00277AD1">
        <w:t xml:space="preserve"> –</w:t>
      </w:r>
      <w:bookmarkEnd w:id="0"/>
      <w:r w:rsidR="00580CFB" w:rsidRPr="00277AD1">
        <w:t xml:space="preserve"> </w:t>
      </w:r>
      <w:r w:rsidR="00706FCA" w:rsidRPr="00277AD1">
        <w:t xml:space="preserve">would have </w:t>
      </w:r>
      <w:r w:rsidR="00100EC2" w:rsidRPr="00277AD1">
        <w:t>resulted in a</w:t>
      </w:r>
      <w:r w:rsidR="00706FCA" w:rsidRPr="00277AD1">
        <w:t xml:space="preserve"> higher compensation </w:t>
      </w:r>
      <w:r w:rsidR="00100EC2" w:rsidRPr="00277AD1">
        <w:t xml:space="preserve">amount </w:t>
      </w:r>
      <w:r w:rsidR="00706FCA" w:rsidRPr="00277AD1">
        <w:t xml:space="preserve">than that obtained </w:t>
      </w:r>
      <w:r w:rsidR="0030170F" w:rsidRPr="00277AD1">
        <w:t>by applying</w:t>
      </w:r>
      <w:r w:rsidR="00706FCA" w:rsidRPr="00277AD1">
        <w:t xml:space="preserve"> the reasonable royalty</w:t>
      </w:r>
      <w:r w:rsidR="003E4F24" w:rsidRPr="00277AD1">
        <w:t xml:space="preserve"> and been</w:t>
      </w:r>
      <w:r w:rsidR="00C66706" w:rsidRPr="00277AD1">
        <w:t xml:space="preserve"> </w:t>
      </w:r>
      <w:r w:rsidR="00706FCA" w:rsidRPr="00277AD1">
        <w:t xml:space="preserve">more </w:t>
      </w:r>
      <w:r w:rsidR="00DA5A46" w:rsidRPr="00277AD1">
        <w:t xml:space="preserve">in line with a </w:t>
      </w:r>
      <w:r w:rsidR="00706FCA" w:rsidRPr="00277AD1">
        <w:t xml:space="preserve">fair and effective compensation for the </w:t>
      </w:r>
      <w:r w:rsidR="00100EC2" w:rsidRPr="00277AD1">
        <w:t xml:space="preserve">damage </w:t>
      </w:r>
      <w:r w:rsidR="00706FCA" w:rsidRPr="00277AD1">
        <w:t>suffered</w:t>
      </w:r>
      <w:r w:rsidR="00C66706" w:rsidRPr="00277AD1">
        <w:t xml:space="preserve">. </w:t>
      </w:r>
    </w:p>
    <w:p w14:paraId="33422187" w14:textId="77777777" w:rsidR="003E4F24" w:rsidRPr="00277AD1" w:rsidRDefault="003E4F24" w:rsidP="00613FB5">
      <w:pPr>
        <w:spacing w:line="276" w:lineRule="auto"/>
      </w:pPr>
    </w:p>
    <w:p w14:paraId="27CEF095" w14:textId="660D9CB8" w:rsidR="00E44844" w:rsidRPr="00CC031C" w:rsidRDefault="00C66706" w:rsidP="00613FB5">
      <w:pPr>
        <w:spacing w:line="276" w:lineRule="auto"/>
      </w:pPr>
      <w:r w:rsidRPr="00277AD1">
        <w:t>The</w:t>
      </w:r>
      <w:r w:rsidR="00A6791C" w:rsidRPr="00277AD1">
        <w:t xml:space="preserve"> Court </w:t>
      </w:r>
      <w:r w:rsidRPr="00277AD1">
        <w:t xml:space="preserve">thus </w:t>
      </w:r>
      <w:r w:rsidR="00A6791C" w:rsidRPr="00277AD1">
        <w:t>upheld the appeal</w:t>
      </w:r>
      <w:r w:rsidR="00E44844" w:rsidRPr="00277AD1">
        <w:t xml:space="preserve"> </w:t>
      </w:r>
      <w:r w:rsidRPr="00277AD1">
        <w:t xml:space="preserve">decision </w:t>
      </w:r>
      <w:r w:rsidR="00E44844" w:rsidRPr="00277AD1">
        <w:t xml:space="preserve">and </w:t>
      </w:r>
      <w:r w:rsidRPr="00277AD1">
        <w:t xml:space="preserve">underlined </w:t>
      </w:r>
      <w:r w:rsidR="00E44844" w:rsidRPr="00277AD1">
        <w:t>the following principle of law:</w:t>
      </w:r>
      <w:r w:rsidR="00E44844" w:rsidRPr="00CC031C">
        <w:t xml:space="preserve"> </w:t>
      </w:r>
    </w:p>
    <w:p w14:paraId="4A993258" w14:textId="7694069F" w:rsidR="00E44844" w:rsidRPr="00CC031C" w:rsidRDefault="00A6791C" w:rsidP="00613FB5">
      <w:pPr>
        <w:spacing w:line="276" w:lineRule="auto"/>
        <w:ind w:left="142"/>
      </w:pPr>
      <w:r w:rsidRPr="00CC031C">
        <w:t xml:space="preserve"> </w:t>
      </w:r>
    </w:p>
    <w:p w14:paraId="28821F04" w14:textId="14789CE2" w:rsidR="003E4F24" w:rsidRDefault="00C66706" w:rsidP="00613FB5">
      <w:pPr>
        <w:spacing w:line="276" w:lineRule="auto"/>
        <w:ind w:left="708" w:right="566"/>
        <w:rPr>
          <w:sz w:val="22"/>
          <w:szCs w:val="22"/>
        </w:rPr>
      </w:pPr>
      <w:r w:rsidRPr="00CC031C">
        <w:rPr>
          <w:sz w:val="22"/>
          <w:szCs w:val="22"/>
        </w:rPr>
        <w:t xml:space="preserve">An </w:t>
      </w:r>
      <w:r w:rsidR="00E44844" w:rsidRPr="00CC031C">
        <w:rPr>
          <w:sz w:val="22"/>
          <w:szCs w:val="22"/>
        </w:rPr>
        <w:t>IP owner</w:t>
      </w:r>
      <w:r w:rsidR="00A6791C" w:rsidRPr="00CC031C">
        <w:rPr>
          <w:sz w:val="22"/>
          <w:szCs w:val="22"/>
        </w:rPr>
        <w:t xml:space="preserve"> may claim compensation for the damage suffered by invoking the criterion of the patent holder’s profit margin applied to the infringer’s turnover of the infringing products, under </w:t>
      </w:r>
      <w:r w:rsidR="000D03FD" w:rsidRPr="00CC031C">
        <w:rPr>
          <w:sz w:val="22"/>
          <w:szCs w:val="22"/>
        </w:rPr>
        <w:t>A</w:t>
      </w:r>
      <w:r w:rsidR="00A6791C" w:rsidRPr="00CC031C">
        <w:rPr>
          <w:sz w:val="22"/>
          <w:szCs w:val="22"/>
        </w:rPr>
        <w:t>rt. 125 of the Italian Industrial Property Code</w:t>
      </w:r>
      <w:r w:rsidR="00E44844" w:rsidRPr="00CC031C">
        <w:rPr>
          <w:sz w:val="22"/>
          <w:szCs w:val="22"/>
        </w:rPr>
        <w:t xml:space="preserve"> …</w:t>
      </w:r>
      <w:r w:rsidR="00A6791C" w:rsidRPr="00CC031C">
        <w:rPr>
          <w:sz w:val="22"/>
          <w:szCs w:val="22"/>
        </w:rPr>
        <w:t>, according to which the damage</w:t>
      </w:r>
      <w:r w:rsidR="004E2E32" w:rsidRPr="00CC031C">
        <w:rPr>
          <w:sz w:val="22"/>
          <w:szCs w:val="22"/>
        </w:rPr>
        <w:t xml:space="preserve">s must </w:t>
      </w:r>
      <w:r w:rsidR="00A6791C" w:rsidRPr="00CC031C">
        <w:rPr>
          <w:sz w:val="22"/>
          <w:szCs w:val="22"/>
        </w:rPr>
        <w:t>be calculated always taking into account the profits made by the infringer, i.e.</w:t>
      </w:r>
      <w:r w:rsidRPr="00CC031C">
        <w:rPr>
          <w:sz w:val="22"/>
          <w:szCs w:val="22"/>
        </w:rPr>
        <w:t>,</w:t>
      </w:r>
      <w:r w:rsidR="00A6791C" w:rsidRPr="00CC031C">
        <w:rPr>
          <w:sz w:val="22"/>
          <w:szCs w:val="22"/>
        </w:rPr>
        <w:t xml:space="preserve"> considering the profit margin </w:t>
      </w:r>
      <w:r w:rsidR="00A6791C" w:rsidRPr="00BA1FAE">
        <w:rPr>
          <w:sz w:val="22"/>
          <w:szCs w:val="22"/>
        </w:rPr>
        <w:t>achieved</w:t>
      </w:r>
      <w:r w:rsidR="000D03FD" w:rsidRPr="00BA1FAE">
        <w:rPr>
          <w:sz w:val="22"/>
          <w:szCs w:val="22"/>
        </w:rPr>
        <w:t xml:space="preserve"> and</w:t>
      </w:r>
      <w:r w:rsidR="00A6791C" w:rsidRPr="00CC031C">
        <w:rPr>
          <w:sz w:val="22"/>
          <w:szCs w:val="22"/>
        </w:rPr>
        <w:t xml:space="preserve"> deducting the costs incurred from the total revenue. In this context</w:t>
      </w:r>
      <w:r w:rsidRPr="00CC031C">
        <w:rPr>
          <w:sz w:val="22"/>
          <w:szCs w:val="22"/>
        </w:rPr>
        <w:t>,</w:t>
      </w:r>
      <w:r w:rsidR="00A6791C" w:rsidRPr="00CC031C">
        <w:rPr>
          <w:sz w:val="22"/>
          <w:szCs w:val="22"/>
        </w:rPr>
        <w:t xml:space="preserve"> the </w:t>
      </w:r>
      <w:r w:rsidR="004E2E32" w:rsidRPr="00CC031C">
        <w:rPr>
          <w:sz w:val="22"/>
          <w:szCs w:val="22"/>
        </w:rPr>
        <w:t xml:space="preserve">reasonable </w:t>
      </w:r>
      <w:r w:rsidR="00A6791C" w:rsidRPr="00CC031C">
        <w:rPr>
          <w:sz w:val="22"/>
          <w:szCs w:val="22"/>
        </w:rPr>
        <w:t xml:space="preserve">royalty criterion </w:t>
      </w:r>
      <w:r w:rsidR="00E44844" w:rsidRPr="00CC031C">
        <w:rPr>
          <w:sz w:val="22"/>
          <w:szCs w:val="22"/>
        </w:rPr>
        <w:t xml:space="preserve">… </w:t>
      </w:r>
      <w:r w:rsidR="00A6791C" w:rsidRPr="00CC031C">
        <w:rPr>
          <w:sz w:val="22"/>
          <w:szCs w:val="22"/>
        </w:rPr>
        <w:t xml:space="preserve">only marks the lower limit of damages awarded on an equitable basis, which, however, cannot be applied when the patentee indicates a different reasonable equitable criterion, with the aim of fully compensating the harm suffered by the </w:t>
      </w:r>
      <w:r w:rsidR="00E44844" w:rsidRPr="00CC031C">
        <w:rPr>
          <w:sz w:val="22"/>
          <w:szCs w:val="22"/>
        </w:rPr>
        <w:t>IP owner.</w:t>
      </w:r>
    </w:p>
    <w:p w14:paraId="13AADC36" w14:textId="5A82C2D2" w:rsidR="002D452A" w:rsidRPr="00CC031C" w:rsidRDefault="00C66706" w:rsidP="00613FB5">
      <w:pPr>
        <w:spacing w:line="276" w:lineRule="auto"/>
      </w:pPr>
      <w:r w:rsidRPr="00CC031C">
        <w:lastRenderedPageBreak/>
        <w:t xml:space="preserve">As to </w:t>
      </w:r>
      <w:proofErr w:type="spellStart"/>
      <w:r w:rsidRPr="00CC031C">
        <w:t>Cappellotto’s</w:t>
      </w:r>
      <w:proofErr w:type="spellEnd"/>
      <w:r w:rsidRPr="00CC031C">
        <w:t xml:space="preserve"> </w:t>
      </w:r>
      <w:r w:rsidR="00A6791C" w:rsidRPr="00CC031C">
        <w:t xml:space="preserve">second </w:t>
      </w:r>
      <w:r w:rsidRPr="00CC031C">
        <w:t>claim</w:t>
      </w:r>
      <w:r w:rsidR="00A6791C" w:rsidRPr="00CC031C">
        <w:t xml:space="preserve">, the Court </w:t>
      </w:r>
      <w:r w:rsidR="005D5FF5" w:rsidRPr="00CC031C">
        <w:t xml:space="preserve">acknowledged </w:t>
      </w:r>
      <w:r w:rsidR="00A6791C" w:rsidRPr="00CC031C">
        <w:t xml:space="preserve">that Italian courts often </w:t>
      </w:r>
      <w:r w:rsidR="00636B3F" w:rsidRPr="00CC031C">
        <w:t xml:space="preserve">consider </w:t>
      </w:r>
      <w:r w:rsidR="00CC031C" w:rsidRPr="0044489A">
        <w:t xml:space="preserve">it </w:t>
      </w:r>
      <w:r w:rsidR="00636B3F" w:rsidRPr="0044489A">
        <w:t xml:space="preserve">“fair </w:t>
      </w:r>
      <w:r w:rsidR="00CC031C" w:rsidRPr="0044489A">
        <w:t xml:space="preserve">to </w:t>
      </w:r>
      <w:r w:rsidR="00636B3F" w:rsidRPr="0044489A">
        <w:t>increas</w:t>
      </w:r>
      <w:r w:rsidR="00CC031C" w:rsidRPr="0044489A">
        <w:t>e</w:t>
      </w:r>
      <w:r w:rsidR="00636B3F" w:rsidRPr="0044489A">
        <w:t xml:space="preserve"> </w:t>
      </w:r>
      <w:r w:rsidR="00A6791C" w:rsidRPr="0044489A">
        <w:t xml:space="preserve">the </w:t>
      </w:r>
      <w:r w:rsidR="00B264B8" w:rsidRPr="0044489A">
        <w:t>standard</w:t>
      </w:r>
      <w:r w:rsidR="00A6791C" w:rsidRPr="0044489A">
        <w:t xml:space="preserve"> royalty rate </w:t>
      </w:r>
      <w:r w:rsidR="00374328" w:rsidRPr="0044489A">
        <w:t>(</w:t>
      </w:r>
      <w:r w:rsidR="00636B3F" w:rsidRPr="0044489A">
        <w:t>at least</w:t>
      </w:r>
      <w:r w:rsidR="00374328" w:rsidRPr="0044489A">
        <w:t xml:space="preserve"> by doubling it)</w:t>
      </w:r>
      <w:r w:rsidR="00636B3F" w:rsidRPr="00CC031C">
        <w:t>”</w:t>
      </w:r>
      <w:r w:rsidR="00374328" w:rsidRPr="00CC031C">
        <w:t xml:space="preserve">, </w:t>
      </w:r>
      <w:r w:rsidR="003E540D" w:rsidRPr="00CC031C">
        <w:t>in order to avoid placing</w:t>
      </w:r>
      <w:r w:rsidR="00B10533" w:rsidRPr="00CC031C">
        <w:t xml:space="preserve"> </w:t>
      </w:r>
      <w:r w:rsidR="00374328" w:rsidRPr="00CC031C">
        <w:t xml:space="preserve">the infringer in </w:t>
      </w:r>
      <w:r w:rsidR="00B37303" w:rsidRPr="00CC031C">
        <w:t xml:space="preserve">the </w:t>
      </w:r>
      <w:r w:rsidR="00374328" w:rsidRPr="00CC031C">
        <w:t xml:space="preserve">same </w:t>
      </w:r>
      <w:r w:rsidR="00B37303" w:rsidRPr="00CC031C">
        <w:t xml:space="preserve">condition </w:t>
      </w:r>
      <w:r w:rsidRPr="00CC031C">
        <w:t xml:space="preserve">as </w:t>
      </w:r>
      <w:r w:rsidR="00A6791C" w:rsidRPr="00CC031C">
        <w:t xml:space="preserve">a legitimate </w:t>
      </w:r>
      <w:r w:rsidR="00374328" w:rsidRPr="00CC031C">
        <w:t>licensee</w:t>
      </w:r>
      <w:r w:rsidR="00A6791C" w:rsidRPr="00CC031C">
        <w:t xml:space="preserve">, </w:t>
      </w:r>
      <w:r w:rsidR="005D5FF5" w:rsidRPr="00CC031C">
        <w:t>on the grounds that</w:t>
      </w:r>
      <w:r w:rsidR="00B37303" w:rsidRPr="00CC031C">
        <w:t xml:space="preserve"> the</w:t>
      </w:r>
      <w:r w:rsidR="00A6791C" w:rsidRPr="00CC031C">
        <w:t xml:space="preserve"> </w:t>
      </w:r>
      <w:r w:rsidRPr="00CC031C">
        <w:t xml:space="preserve">infringer </w:t>
      </w:r>
      <w:r w:rsidR="00A6791C" w:rsidRPr="00CC031C">
        <w:t xml:space="preserve">does not bear the costs </w:t>
      </w:r>
      <w:r w:rsidRPr="00CC031C">
        <w:t xml:space="preserve">or </w:t>
      </w:r>
      <w:r w:rsidR="00A6791C" w:rsidRPr="00CC031C">
        <w:t xml:space="preserve">risks </w:t>
      </w:r>
      <w:r w:rsidR="00374328" w:rsidRPr="00CC031C">
        <w:t xml:space="preserve">borne by the </w:t>
      </w:r>
      <w:r w:rsidRPr="00CC031C">
        <w:t xml:space="preserve">licensee </w:t>
      </w:r>
      <w:r w:rsidR="00A6791C" w:rsidRPr="00CC031C">
        <w:t xml:space="preserve">and therefore can afford to </w:t>
      </w:r>
      <w:r w:rsidRPr="00CC031C">
        <w:t xml:space="preserve">sell </w:t>
      </w:r>
      <w:r w:rsidR="00A6791C" w:rsidRPr="00CC031C">
        <w:t>the infringing products at a reduced price.</w:t>
      </w:r>
      <w:r w:rsidR="005D5FF5" w:rsidRPr="00CC031C">
        <w:t xml:space="preserve"> </w:t>
      </w:r>
    </w:p>
    <w:p w14:paraId="43836C2C" w14:textId="77777777" w:rsidR="002D452A" w:rsidRPr="00CC031C" w:rsidRDefault="002D452A" w:rsidP="00613FB5">
      <w:pPr>
        <w:spacing w:line="276" w:lineRule="auto"/>
      </w:pPr>
    </w:p>
    <w:p w14:paraId="6469BD77" w14:textId="07E20488" w:rsidR="00A6791C" w:rsidRPr="00277AD1" w:rsidRDefault="00C66706" w:rsidP="00613FB5">
      <w:pPr>
        <w:spacing w:line="276" w:lineRule="auto"/>
      </w:pPr>
      <w:r w:rsidRPr="00CC031C">
        <w:t>T</w:t>
      </w:r>
      <w:r w:rsidR="00A6791C" w:rsidRPr="00CC031C">
        <w:t xml:space="preserve">he Court </w:t>
      </w:r>
      <w:r w:rsidRPr="00CC031C">
        <w:t xml:space="preserve">did, however, </w:t>
      </w:r>
      <w:r w:rsidR="00A6791C" w:rsidRPr="00CC031C">
        <w:t xml:space="preserve">rule out the existence </w:t>
      </w:r>
      <w:r w:rsidRPr="00CC031C">
        <w:t>of a mandatory rule to increase the standard royalty rate</w:t>
      </w:r>
      <w:r w:rsidR="004B0558" w:rsidRPr="00CC031C">
        <w:t xml:space="preserve">. The Court simply stated </w:t>
      </w:r>
      <w:r w:rsidR="00B264B8" w:rsidRPr="00CC031C">
        <w:t>that</w:t>
      </w:r>
      <w:r w:rsidR="00A227B3" w:rsidRPr="00CC031C">
        <w:t xml:space="preserve"> </w:t>
      </w:r>
      <w:r w:rsidR="004B0558" w:rsidRPr="00CC031C">
        <w:t xml:space="preserve">Art. </w:t>
      </w:r>
      <w:r w:rsidR="00A6791C" w:rsidRPr="00CC031C">
        <w:t xml:space="preserve">125(2) </w:t>
      </w:r>
      <w:r w:rsidR="00D3030A" w:rsidRPr="00CC031C">
        <w:t>IPC</w:t>
      </w:r>
      <w:r w:rsidR="00A6791C" w:rsidRPr="00CC031C">
        <w:t xml:space="preserve"> provides </w:t>
      </w:r>
      <w:r w:rsidR="004B0558" w:rsidRPr="00CC031C">
        <w:t xml:space="preserve">merely </w:t>
      </w:r>
      <w:r w:rsidR="00A6791C" w:rsidRPr="00CC031C">
        <w:t xml:space="preserve">a rule </w:t>
      </w:r>
      <w:r w:rsidR="0030251F" w:rsidRPr="00CC031C">
        <w:t>for simplifying</w:t>
      </w:r>
      <w:r w:rsidR="00A6791C" w:rsidRPr="00CC031C">
        <w:t xml:space="preserve"> the equitable assessment</w:t>
      </w:r>
      <w:r w:rsidR="0030251F" w:rsidRPr="00CC031C">
        <w:t xml:space="preserve"> of damages </w:t>
      </w:r>
      <w:r w:rsidR="004B0558" w:rsidRPr="00CC031C">
        <w:t xml:space="preserve">when </w:t>
      </w:r>
      <w:r w:rsidR="0030251F" w:rsidRPr="00CC031C">
        <w:t>it</w:t>
      </w:r>
      <w:r w:rsidR="00A6791C" w:rsidRPr="00CC031C">
        <w:t xml:space="preserve"> is difficult to </w:t>
      </w:r>
      <w:r w:rsidR="00A227B3" w:rsidRPr="00CC031C">
        <w:t xml:space="preserve">assess </w:t>
      </w:r>
      <w:r w:rsidR="00A6791C" w:rsidRPr="00CC031C">
        <w:t>the damage</w:t>
      </w:r>
      <w:r w:rsidR="00A227B3" w:rsidRPr="00CC031C">
        <w:t xml:space="preserve"> actually</w:t>
      </w:r>
      <w:r w:rsidR="00A6791C" w:rsidRPr="00CC031C">
        <w:t xml:space="preserve"> suffered</w:t>
      </w:r>
      <w:r w:rsidR="00374328" w:rsidRPr="00CC031C">
        <w:t xml:space="preserve"> by the </w:t>
      </w:r>
      <w:proofErr w:type="spellStart"/>
      <w:r w:rsidR="00374328" w:rsidRPr="00CC031C">
        <w:t>rightholder</w:t>
      </w:r>
      <w:proofErr w:type="spellEnd"/>
      <w:r w:rsidR="004B0558" w:rsidRPr="00CC031C">
        <w:t xml:space="preserve">. In brief, the rule is to </w:t>
      </w:r>
      <w:r w:rsidR="00A6791C" w:rsidRPr="00CC031C">
        <w:t xml:space="preserve">set the criterion of the </w:t>
      </w:r>
      <w:r w:rsidR="00374328" w:rsidRPr="00CC031C">
        <w:t>reasonable</w:t>
      </w:r>
      <w:r w:rsidR="00A6791C" w:rsidRPr="00CC031C">
        <w:t xml:space="preserve"> </w:t>
      </w:r>
      <w:r w:rsidR="003E540D" w:rsidRPr="00CC031C">
        <w:t xml:space="preserve">royalty </w:t>
      </w:r>
      <w:r w:rsidR="00A6791C" w:rsidRPr="00CC031C">
        <w:t>as a minimum</w:t>
      </w:r>
      <w:r w:rsidR="0000076D" w:rsidRPr="00CC031C">
        <w:t xml:space="preserve"> measure</w:t>
      </w:r>
      <w:r w:rsidR="00A6791C" w:rsidRPr="00CC031C">
        <w:t xml:space="preserve">, in consideration of the general </w:t>
      </w:r>
      <w:r w:rsidR="00A6791C" w:rsidRPr="00BA1FAE">
        <w:t xml:space="preserve">rule </w:t>
      </w:r>
      <w:r w:rsidR="00CC031C" w:rsidRPr="0044489A">
        <w:t>Art. 125(1) IPC</w:t>
      </w:r>
      <w:r w:rsidR="00A6791C" w:rsidRPr="00CC031C">
        <w:t xml:space="preserve">, </w:t>
      </w:r>
      <w:r w:rsidR="004B0558" w:rsidRPr="00CC031C">
        <w:t>whereby</w:t>
      </w:r>
      <w:r w:rsidR="00A6791C" w:rsidRPr="00CC031C">
        <w:t xml:space="preserve"> the infringer must </w:t>
      </w:r>
      <w:r w:rsidR="004B0558" w:rsidRPr="00CC031C">
        <w:t xml:space="preserve">pay </w:t>
      </w:r>
      <w:r w:rsidR="00A6791C" w:rsidRPr="00CC031C">
        <w:t xml:space="preserve">the </w:t>
      </w:r>
      <w:proofErr w:type="spellStart"/>
      <w:r w:rsidR="00A6791C" w:rsidRPr="00CC031C">
        <w:t>rightholder</w:t>
      </w:r>
      <w:proofErr w:type="spellEnd"/>
      <w:r w:rsidR="00A6791C" w:rsidRPr="00CC031C">
        <w:t xml:space="preserve"> </w:t>
      </w:r>
      <w:r w:rsidR="004B0558" w:rsidRPr="00CC031C">
        <w:t>damages in the amount</w:t>
      </w:r>
      <w:r w:rsidR="00A6791C" w:rsidRPr="00CC031C">
        <w:t xml:space="preserve"> appropriate to the actual </w:t>
      </w:r>
      <w:r w:rsidR="00A6791C" w:rsidRPr="00277AD1">
        <w:t>prejudice suffered, taking into account all the relevant facts of the case.</w:t>
      </w:r>
    </w:p>
    <w:p w14:paraId="04D4952D" w14:textId="6A6B8290" w:rsidR="00E77BF0" w:rsidRPr="00277AD1" w:rsidRDefault="00E77BF0" w:rsidP="00613FB5">
      <w:pPr>
        <w:spacing w:line="276" w:lineRule="auto"/>
      </w:pPr>
    </w:p>
    <w:p w14:paraId="7671406C" w14:textId="77777777" w:rsidR="00E77BF0" w:rsidRPr="00277AD1" w:rsidRDefault="00E77BF0" w:rsidP="00E77BF0">
      <w:pPr>
        <w:spacing w:line="276" w:lineRule="auto"/>
        <w:rPr>
          <w:b/>
          <w:bCs/>
        </w:rPr>
      </w:pPr>
      <w:r w:rsidRPr="00277AD1">
        <w:rPr>
          <w:b/>
          <w:bCs/>
        </w:rPr>
        <w:t>Conclusion</w:t>
      </w:r>
    </w:p>
    <w:p w14:paraId="0BFE803A" w14:textId="77777777" w:rsidR="00033BAD" w:rsidRPr="00277AD1" w:rsidRDefault="00033BAD" w:rsidP="00E77BF0">
      <w:pPr>
        <w:spacing w:line="276" w:lineRule="auto"/>
      </w:pPr>
    </w:p>
    <w:p w14:paraId="7FFE8FBF" w14:textId="294DC383" w:rsidR="00E77BF0" w:rsidRDefault="00E77BF0" w:rsidP="00E77BF0">
      <w:pPr>
        <w:spacing w:line="276" w:lineRule="auto"/>
      </w:pPr>
      <w:r w:rsidRPr="00277AD1">
        <w:t>With this decision</w:t>
      </w:r>
      <w:r w:rsidR="00033BAD" w:rsidRPr="00277AD1">
        <w:t>,</w:t>
      </w:r>
      <w:r w:rsidRPr="00277AD1">
        <w:t xml:space="preserve"> the Supreme Court</w:t>
      </w:r>
      <w:r w:rsidR="00033BAD" w:rsidRPr="00277AD1">
        <w:t xml:space="preserve"> –</w:t>
      </w:r>
      <w:r w:rsidRPr="00277AD1">
        <w:t xml:space="preserve"> </w:t>
      </w:r>
      <w:r w:rsidR="00853C3E" w:rsidRPr="00277AD1">
        <w:t>in line with the</w:t>
      </w:r>
      <w:r w:rsidRPr="00277AD1">
        <w:t xml:space="preserve"> </w:t>
      </w:r>
      <w:r w:rsidR="00B455E2" w:rsidRPr="00277AD1">
        <w:t xml:space="preserve">rulings </w:t>
      </w:r>
      <w:r w:rsidR="00B455E2">
        <w:t xml:space="preserve">of the </w:t>
      </w:r>
      <w:r w:rsidR="00B455E2" w:rsidRPr="00277AD1">
        <w:t>Court of Justice of the European Union</w:t>
      </w:r>
      <w:r w:rsidR="00B455E2">
        <w:t xml:space="preserve"> </w:t>
      </w:r>
      <w:r w:rsidR="00033BAD" w:rsidRPr="00277AD1">
        <w:t>–</w:t>
      </w:r>
      <w:r w:rsidRPr="00277AD1">
        <w:t xml:space="preserve"> </w:t>
      </w:r>
      <w:r w:rsidR="00033BAD" w:rsidRPr="00277AD1">
        <w:t>has established</w:t>
      </w:r>
      <w:r w:rsidRPr="00277AD1">
        <w:t xml:space="preserve"> an important principle</w:t>
      </w:r>
      <w:r w:rsidR="00824AAF" w:rsidRPr="00277AD1">
        <w:t xml:space="preserve"> according to which</w:t>
      </w:r>
      <w:r w:rsidRPr="00277AD1">
        <w:t xml:space="preserve"> </w:t>
      </w:r>
      <w:r w:rsidR="00033BAD" w:rsidRPr="00277AD1">
        <w:t xml:space="preserve">application of </w:t>
      </w:r>
      <w:r w:rsidRPr="00277AD1">
        <w:t>the</w:t>
      </w:r>
      <w:r w:rsidR="005D2A04" w:rsidRPr="00277AD1">
        <w:t xml:space="preserve"> reasonable royalty criterion under Art. 125(2) IPC</w:t>
      </w:r>
      <w:r w:rsidR="00824AAF" w:rsidRPr="00277AD1">
        <w:t>: (a)</w:t>
      </w:r>
      <w:r w:rsidRPr="00277AD1">
        <w:t xml:space="preserve"> </w:t>
      </w:r>
      <w:r w:rsidR="005D2A04" w:rsidRPr="00277AD1">
        <w:t>set</w:t>
      </w:r>
      <w:r w:rsidR="00033BAD" w:rsidRPr="00277AD1">
        <w:t>s</w:t>
      </w:r>
      <w:r w:rsidR="005D2A04" w:rsidRPr="00277AD1">
        <w:t xml:space="preserve"> a floor below which the courts are not authori</w:t>
      </w:r>
      <w:r w:rsidR="00033BAD" w:rsidRPr="00277AD1">
        <w:t>s</w:t>
      </w:r>
      <w:r w:rsidR="005D2A04" w:rsidRPr="00277AD1">
        <w:t>ed to go</w:t>
      </w:r>
      <w:r w:rsidR="00824AAF" w:rsidRPr="00277AD1">
        <w:t>;</w:t>
      </w:r>
      <w:r w:rsidR="00BC27B2" w:rsidRPr="00277AD1">
        <w:t xml:space="preserve"> and</w:t>
      </w:r>
      <w:r w:rsidR="0070707C" w:rsidRPr="00277AD1">
        <w:t xml:space="preserve"> </w:t>
      </w:r>
      <w:r w:rsidR="00824AAF" w:rsidRPr="00277AD1">
        <w:t>(b)</w:t>
      </w:r>
      <w:r w:rsidR="00BC27B2" w:rsidRPr="00277AD1">
        <w:t xml:space="preserve"> requires proof only of the elements necessary to </w:t>
      </w:r>
      <w:r w:rsidR="009C68BA" w:rsidRPr="00277AD1">
        <w:t>calculate</w:t>
      </w:r>
      <w:r w:rsidR="00BC27B2" w:rsidRPr="00277AD1">
        <w:t xml:space="preserve"> the </w:t>
      </w:r>
      <w:r w:rsidR="00A05160" w:rsidRPr="00277AD1">
        <w:t>amount the infringer would have had to pay had they obtained a licen</w:t>
      </w:r>
      <w:r w:rsidR="00033BAD" w:rsidRPr="00277AD1">
        <w:t>c</w:t>
      </w:r>
      <w:r w:rsidR="00A05160" w:rsidRPr="00277AD1">
        <w:t>e from the patent owner</w:t>
      </w:r>
      <w:r w:rsidR="009C68BA" w:rsidRPr="00277AD1">
        <w:t xml:space="preserve"> (</w:t>
      </w:r>
      <w:r w:rsidR="00A05160" w:rsidRPr="00277AD1">
        <w:t>i.e.</w:t>
      </w:r>
      <w:r w:rsidR="00033BAD" w:rsidRPr="00277AD1">
        <w:t>,</w:t>
      </w:r>
      <w:r w:rsidR="00A05160" w:rsidRPr="00277AD1">
        <w:t xml:space="preserve"> </w:t>
      </w:r>
      <w:r w:rsidR="009C68BA" w:rsidRPr="00277AD1">
        <w:t>the infringer</w:t>
      </w:r>
      <w:r w:rsidR="0070707C" w:rsidRPr="00277AD1">
        <w:t>’s revenue</w:t>
      </w:r>
      <w:r w:rsidR="009C68BA" w:rsidRPr="00277AD1">
        <w:t xml:space="preserve"> and </w:t>
      </w:r>
      <w:r w:rsidR="0070707C" w:rsidRPr="00277AD1">
        <w:t xml:space="preserve">the </w:t>
      </w:r>
      <w:r w:rsidR="009C68BA" w:rsidRPr="00277AD1">
        <w:t>royalty rate applied in the sector</w:t>
      </w:r>
      <w:r w:rsidR="0070707C" w:rsidRPr="00277AD1">
        <w:t xml:space="preserve"> concerned</w:t>
      </w:r>
      <w:r w:rsidR="009C68BA" w:rsidRPr="00277AD1">
        <w:t xml:space="preserve">), not </w:t>
      </w:r>
      <w:r w:rsidR="00824AAF" w:rsidRPr="00277AD1">
        <w:t xml:space="preserve">proof </w:t>
      </w:r>
      <w:r w:rsidR="009C68BA" w:rsidRPr="00277AD1">
        <w:t xml:space="preserve">of </w:t>
      </w:r>
      <w:r w:rsidRPr="00277AD1">
        <w:t xml:space="preserve">all the elements </w:t>
      </w:r>
      <w:r w:rsidR="005712DD" w:rsidRPr="00277AD1">
        <w:t>relating to the</w:t>
      </w:r>
      <w:r w:rsidR="00824AAF" w:rsidRPr="00277AD1">
        <w:t xml:space="preserve"> claimed</w:t>
      </w:r>
      <w:r w:rsidR="005712DD" w:rsidRPr="00277AD1">
        <w:t xml:space="preserve"> damages</w:t>
      </w:r>
      <w:r w:rsidRPr="00277AD1">
        <w:t xml:space="preserve"> </w:t>
      </w:r>
      <w:r w:rsidR="00824AAF" w:rsidRPr="00277AD1">
        <w:t>(</w:t>
      </w:r>
      <w:r w:rsidR="005712DD" w:rsidRPr="00277AD1">
        <w:t xml:space="preserve">as </w:t>
      </w:r>
      <w:r w:rsidR="00824AAF" w:rsidRPr="00277AD1">
        <w:t xml:space="preserve">required </w:t>
      </w:r>
      <w:r w:rsidR="005712DD" w:rsidRPr="00277AD1">
        <w:t>under</w:t>
      </w:r>
      <w:r w:rsidRPr="00277AD1">
        <w:t xml:space="preserve"> </w:t>
      </w:r>
      <w:r w:rsidR="00BC27B2" w:rsidRPr="00277AD1">
        <w:t>Art. 125(1) IPC</w:t>
      </w:r>
      <w:r w:rsidR="00824AAF" w:rsidRPr="00277AD1">
        <w:t>)</w:t>
      </w:r>
      <w:r w:rsidR="009C68BA" w:rsidRPr="00277AD1">
        <w:t xml:space="preserve">. </w:t>
      </w:r>
      <w:r w:rsidR="005712DD" w:rsidRPr="00277AD1">
        <w:t xml:space="preserve">It follows that </w:t>
      </w:r>
      <w:r w:rsidR="003A438B" w:rsidRPr="00277AD1">
        <w:t xml:space="preserve">patent </w:t>
      </w:r>
      <w:r w:rsidRPr="00277AD1">
        <w:t>owner</w:t>
      </w:r>
      <w:r w:rsidR="00824AAF" w:rsidRPr="00277AD1">
        <w:t>s</w:t>
      </w:r>
      <w:r w:rsidRPr="00277AD1">
        <w:t xml:space="preserve"> can always claim </w:t>
      </w:r>
      <w:r w:rsidR="005712DD" w:rsidRPr="00277AD1">
        <w:t>greater compensation</w:t>
      </w:r>
      <w:r w:rsidRPr="00277AD1">
        <w:t xml:space="preserve">, which will be granted if </w:t>
      </w:r>
      <w:r w:rsidR="00824AAF" w:rsidRPr="00277AD1">
        <w:t>they</w:t>
      </w:r>
      <w:r w:rsidRPr="00277AD1">
        <w:t xml:space="preserve"> provide the more complex proof</w:t>
      </w:r>
      <w:r w:rsidR="00824AAF" w:rsidRPr="00277AD1">
        <w:t xml:space="preserve"> required</w:t>
      </w:r>
      <w:r w:rsidRPr="00277AD1">
        <w:t>.</w:t>
      </w:r>
    </w:p>
    <w:p w14:paraId="397CB663" w14:textId="7E90CF90" w:rsidR="00E77BF0" w:rsidRDefault="00E77BF0" w:rsidP="00E77BF0">
      <w:pPr>
        <w:spacing w:line="276" w:lineRule="auto"/>
      </w:pPr>
    </w:p>
    <w:p w14:paraId="1477B982" w14:textId="3CEBE46C" w:rsidR="00FE381D" w:rsidRDefault="00FE381D" w:rsidP="00E77BF0">
      <w:pPr>
        <w:spacing w:line="276" w:lineRule="auto"/>
      </w:pPr>
    </w:p>
    <w:p w14:paraId="40A6D116" w14:textId="5AB00844" w:rsidR="00FE381D" w:rsidRDefault="00FE381D" w:rsidP="00E77BF0">
      <w:pPr>
        <w:spacing w:line="276" w:lineRule="auto"/>
      </w:pPr>
    </w:p>
    <w:p w14:paraId="2E39F949" w14:textId="4719CF81" w:rsidR="00FE381D" w:rsidRPr="00FE381D" w:rsidRDefault="00FE381D" w:rsidP="00E77BF0">
      <w:pPr>
        <w:spacing w:line="276" w:lineRule="auto"/>
        <w:rPr>
          <w:lang w:val="it-IT"/>
        </w:rPr>
      </w:pPr>
      <w:bookmarkStart w:id="1" w:name="_Hlk82072619"/>
      <w:r w:rsidRPr="00FE381D">
        <w:rPr>
          <w:lang w:val="it-IT"/>
        </w:rPr>
        <w:t>Summary: Giulia Pasqualetto and Federica F</w:t>
      </w:r>
      <w:r>
        <w:rPr>
          <w:lang w:val="it-IT"/>
        </w:rPr>
        <w:t xml:space="preserve">ranchetti, BonelliErede </w:t>
      </w:r>
      <w:bookmarkEnd w:id="1"/>
    </w:p>
    <w:sectPr w:rsidR="00FE381D" w:rsidRPr="00FE381D" w:rsidSect="00464478">
      <w:footerReference w:type="even" r:id="rId8"/>
      <w:footerReference w:type="default" r:id="rId9"/>
      <w:type w:val="continuous"/>
      <w:pgSz w:w="11906" w:h="16838" w:code="9"/>
      <w:pgMar w:top="1984" w:right="1701" w:bottom="22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135F" w14:textId="77777777" w:rsidR="006C5D39" w:rsidRDefault="006C5D39">
      <w:r>
        <w:separator/>
      </w:r>
    </w:p>
  </w:endnote>
  <w:endnote w:type="continuationSeparator" w:id="0">
    <w:p w14:paraId="7F9A8936" w14:textId="77777777" w:rsidR="006C5D39" w:rsidRDefault="006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1823" w14:textId="77777777" w:rsidR="001F76DF" w:rsidRDefault="001F76DF">
    <w:pPr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DAFC53C" w14:textId="77777777" w:rsidR="001F76DF" w:rsidRDefault="001F76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CF4" w14:textId="77777777" w:rsidR="001F76DF" w:rsidRDefault="001F76DF">
    <w:pPr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94CFA0" w14:textId="77777777" w:rsidR="001F76DF" w:rsidRDefault="001F76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DEE0" w14:textId="77777777" w:rsidR="006C5D39" w:rsidRDefault="006C5D39">
      <w:r>
        <w:separator/>
      </w:r>
    </w:p>
  </w:footnote>
  <w:footnote w:type="continuationSeparator" w:id="0">
    <w:p w14:paraId="612E0AE0" w14:textId="77777777" w:rsidR="006C5D39" w:rsidRDefault="006C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723780"/>
    <w:multiLevelType w:val="hybridMultilevel"/>
    <w:tmpl w:val="63FF65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381C0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83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D36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98E9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620F29"/>
    <w:multiLevelType w:val="multilevel"/>
    <w:tmpl w:val="9DA0A4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1FA454A"/>
    <w:multiLevelType w:val="singleLevel"/>
    <w:tmpl w:val="ED2C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926"/>
      </w:pPr>
      <w:rPr>
        <w:rFonts w:ascii="Symbol" w:hAnsi="Symbol" w:hint="default"/>
      </w:rPr>
    </w:lvl>
  </w:abstractNum>
  <w:abstractNum w:abstractNumId="8" w15:restartNumberingAfterBreak="0">
    <w:nsid w:val="126C6C89"/>
    <w:multiLevelType w:val="hybridMultilevel"/>
    <w:tmpl w:val="0DF0F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671"/>
    <w:multiLevelType w:val="hybridMultilevel"/>
    <w:tmpl w:val="95544320"/>
    <w:lvl w:ilvl="0" w:tplc="C4801FB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05F5"/>
    <w:multiLevelType w:val="multilevel"/>
    <w:tmpl w:val="1F2076A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1CF75379"/>
    <w:multiLevelType w:val="hybridMultilevel"/>
    <w:tmpl w:val="B598021A"/>
    <w:lvl w:ilvl="0" w:tplc="12B2BC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74C92"/>
    <w:multiLevelType w:val="hybridMultilevel"/>
    <w:tmpl w:val="69CC457C"/>
    <w:lvl w:ilvl="0" w:tplc="62D629F8">
      <w:start w:val="1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AD4160"/>
    <w:multiLevelType w:val="hybridMultilevel"/>
    <w:tmpl w:val="639E1554"/>
    <w:lvl w:ilvl="0" w:tplc="52E808DC">
      <w:start w:val="1"/>
      <w:numFmt w:val="lowerLetter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76AE"/>
    <w:multiLevelType w:val="hybridMultilevel"/>
    <w:tmpl w:val="A62A486A"/>
    <w:lvl w:ilvl="0" w:tplc="63DEACFE">
      <w:start w:val="1"/>
      <w:numFmt w:val="decimal"/>
      <w:pStyle w:val="TestoNumerat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02077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884940C">
      <w:numFmt w:val="none"/>
      <w:lvlText w:val=""/>
      <w:lvlJc w:val="left"/>
      <w:pPr>
        <w:tabs>
          <w:tab w:val="num" w:pos="360"/>
        </w:tabs>
      </w:pPr>
    </w:lvl>
    <w:lvl w:ilvl="3" w:tplc="133AD9A6">
      <w:start w:val="1"/>
      <w:numFmt w:val="bullet"/>
      <w:lvlRestart w:val="0"/>
      <w:lvlText w:val="–"/>
      <w:lvlJc w:val="left"/>
      <w:pPr>
        <w:tabs>
          <w:tab w:val="num" w:pos="2945"/>
        </w:tabs>
        <w:ind w:left="2945" w:hanging="425"/>
      </w:pPr>
      <w:rPr>
        <w:rFonts w:ascii="GarmdITC Bk BT" w:hAnsi="GarmdITC Bk BT" w:hint="default"/>
      </w:rPr>
    </w:lvl>
    <w:lvl w:ilvl="4" w:tplc="6FB60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B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2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F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E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31BB3"/>
    <w:multiLevelType w:val="hybridMultilevel"/>
    <w:tmpl w:val="76D4436C"/>
    <w:lvl w:ilvl="0" w:tplc="6EC4C87A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AB02C9"/>
    <w:multiLevelType w:val="multilevel"/>
    <w:tmpl w:val="91C487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3E3E1078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92377C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9" w15:restartNumberingAfterBreak="0">
    <w:nsid w:val="4CF649F5"/>
    <w:multiLevelType w:val="hybridMultilevel"/>
    <w:tmpl w:val="22D23B6E"/>
    <w:lvl w:ilvl="0" w:tplc="33A00156">
      <w:start w:val="1"/>
      <w:numFmt w:val="lowerRoman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45727"/>
    <w:multiLevelType w:val="hybridMultilevel"/>
    <w:tmpl w:val="1DCA3944"/>
    <w:lvl w:ilvl="0" w:tplc="3166669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0C6E3A"/>
    <w:multiLevelType w:val="singleLevel"/>
    <w:tmpl w:val="B5B8F19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5F3B249B"/>
    <w:multiLevelType w:val="singleLevel"/>
    <w:tmpl w:val="3ABA39BE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3" w15:restartNumberingAfterBreak="0">
    <w:nsid w:val="60531248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4" w15:restartNumberingAfterBreak="0">
    <w:nsid w:val="63DF407E"/>
    <w:multiLevelType w:val="hybridMultilevel"/>
    <w:tmpl w:val="A6128B96"/>
    <w:lvl w:ilvl="0" w:tplc="A7D07062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11E9D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1112D2"/>
    <w:multiLevelType w:val="hybridMultilevel"/>
    <w:tmpl w:val="54B64BD0"/>
    <w:lvl w:ilvl="0" w:tplc="2AEC11D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02043"/>
    <w:multiLevelType w:val="hybridMultilevel"/>
    <w:tmpl w:val="0CDA85DA"/>
    <w:lvl w:ilvl="0" w:tplc="714255B8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7"/>
  </w:num>
  <w:num w:numId="9">
    <w:abstractNumId w:val="25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23"/>
  </w:num>
  <w:num w:numId="17">
    <w:abstractNumId w:val="7"/>
  </w:num>
  <w:num w:numId="18">
    <w:abstractNumId w:val="21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14"/>
  </w:num>
  <w:num w:numId="25">
    <w:abstractNumId w:val="24"/>
  </w:num>
  <w:num w:numId="26">
    <w:abstractNumId w:val="26"/>
  </w:num>
  <w:num w:numId="27">
    <w:abstractNumId w:val="27"/>
  </w:num>
  <w:num w:numId="28">
    <w:abstractNumId w:val="0"/>
  </w:num>
  <w:num w:numId="29">
    <w:abstractNumId w:val="15"/>
  </w:num>
  <w:num w:numId="30">
    <w:abstractNumId w:val="8"/>
  </w:num>
  <w:num w:numId="31">
    <w:abstractNumId w:val="11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styleLockTheme/>
  <w:styleLockQFSet/>
  <w:defaultTabStop w:val="708"/>
  <w:hyphenationZone w:val="283"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45"/>
    <w:rsid w:val="0000076D"/>
    <w:rsid w:val="00003E13"/>
    <w:rsid w:val="000206AF"/>
    <w:rsid w:val="0003125A"/>
    <w:rsid w:val="000333D3"/>
    <w:rsid w:val="00033BAD"/>
    <w:rsid w:val="00044008"/>
    <w:rsid w:val="00047F8C"/>
    <w:rsid w:val="000577DC"/>
    <w:rsid w:val="000578B6"/>
    <w:rsid w:val="00060440"/>
    <w:rsid w:val="000609AE"/>
    <w:rsid w:val="00064883"/>
    <w:rsid w:val="00064F00"/>
    <w:rsid w:val="00066D1A"/>
    <w:rsid w:val="0007131E"/>
    <w:rsid w:val="000A1654"/>
    <w:rsid w:val="000A71DF"/>
    <w:rsid w:val="000B0247"/>
    <w:rsid w:val="000B44C2"/>
    <w:rsid w:val="000B5FFB"/>
    <w:rsid w:val="000C22A0"/>
    <w:rsid w:val="000C4414"/>
    <w:rsid w:val="000C7633"/>
    <w:rsid w:val="000D03FD"/>
    <w:rsid w:val="000E2410"/>
    <w:rsid w:val="000E2416"/>
    <w:rsid w:val="00100E62"/>
    <w:rsid w:val="00100EC2"/>
    <w:rsid w:val="00104905"/>
    <w:rsid w:val="001107F9"/>
    <w:rsid w:val="00115214"/>
    <w:rsid w:val="0011585E"/>
    <w:rsid w:val="001230AE"/>
    <w:rsid w:val="001376D7"/>
    <w:rsid w:val="00143AD3"/>
    <w:rsid w:val="00153110"/>
    <w:rsid w:val="0015339E"/>
    <w:rsid w:val="00154DB1"/>
    <w:rsid w:val="001562D3"/>
    <w:rsid w:val="00166664"/>
    <w:rsid w:val="001758C1"/>
    <w:rsid w:val="0018187F"/>
    <w:rsid w:val="00192EE3"/>
    <w:rsid w:val="0019357D"/>
    <w:rsid w:val="001A0280"/>
    <w:rsid w:val="001A2CBA"/>
    <w:rsid w:val="001D63CD"/>
    <w:rsid w:val="001E3EB7"/>
    <w:rsid w:val="001F0082"/>
    <w:rsid w:val="001F76DF"/>
    <w:rsid w:val="00214D10"/>
    <w:rsid w:val="00217911"/>
    <w:rsid w:val="00223B24"/>
    <w:rsid w:val="00233786"/>
    <w:rsid w:val="00240A0D"/>
    <w:rsid w:val="00240C20"/>
    <w:rsid w:val="00244963"/>
    <w:rsid w:val="002500A6"/>
    <w:rsid w:val="00255CCE"/>
    <w:rsid w:val="00264CA0"/>
    <w:rsid w:val="002653C5"/>
    <w:rsid w:val="0026552A"/>
    <w:rsid w:val="00275D63"/>
    <w:rsid w:val="002766B7"/>
    <w:rsid w:val="00277AD1"/>
    <w:rsid w:val="00280C90"/>
    <w:rsid w:val="00282A3D"/>
    <w:rsid w:val="00296E95"/>
    <w:rsid w:val="002A672D"/>
    <w:rsid w:val="002B11BB"/>
    <w:rsid w:val="002B1EC1"/>
    <w:rsid w:val="002B5008"/>
    <w:rsid w:val="002C6265"/>
    <w:rsid w:val="002D452A"/>
    <w:rsid w:val="002D5914"/>
    <w:rsid w:val="002F1D03"/>
    <w:rsid w:val="002F2652"/>
    <w:rsid w:val="002F547D"/>
    <w:rsid w:val="002F6EC9"/>
    <w:rsid w:val="0030170F"/>
    <w:rsid w:val="0030251F"/>
    <w:rsid w:val="00317F6E"/>
    <w:rsid w:val="0032048C"/>
    <w:rsid w:val="003318FF"/>
    <w:rsid w:val="003464FA"/>
    <w:rsid w:val="003465BC"/>
    <w:rsid w:val="003552C6"/>
    <w:rsid w:val="00356EE9"/>
    <w:rsid w:val="003578D1"/>
    <w:rsid w:val="003614DA"/>
    <w:rsid w:val="0036229C"/>
    <w:rsid w:val="003627A5"/>
    <w:rsid w:val="00373D04"/>
    <w:rsid w:val="00374328"/>
    <w:rsid w:val="003902C8"/>
    <w:rsid w:val="003921CF"/>
    <w:rsid w:val="00392529"/>
    <w:rsid w:val="003A438B"/>
    <w:rsid w:val="003B4539"/>
    <w:rsid w:val="003C299E"/>
    <w:rsid w:val="003D74CE"/>
    <w:rsid w:val="003E4F24"/>
    <w:rsid w:val="003E540D"/>
    <w:rsid w:val="003F335D"/>
    <w:rsid w:val="004116DD"/>
    <w:rsid w:val="004161B6"/>
    <w:rsid w:val="004203F6"/>
    <w:rsid w:val="00420BF2"/>
    <w:rsid w:val="004217B2"/>
    <w:rsid w:val="00423D9A"/>
    <w:rsid w:val="00426522"/>
    <w:rsid w:val="00431A0E"/>
    <w:rsid w:val="00435543"/>
    <w:rsid w:val="0044489A"/>
    <w:rsid w:val="00444D10"/>
    <w:rsid w:val="00453EED"/>
    <w:rsid w:val="0046378C"/>
    <w:rsid w:val="00464478"/>
    <w:rsid w:val="00465F25"/>
    <w:rsid w:val="00471F9D"/>
    <w:rsid w:val="00472E2F"/>
    <w:rsid w:val="004730FE"/>
    <w:rsid w:val="00475547"/>
    <w:rsid w:val="00476D10"/>
    <w:rsid w:val="00487ACC"/>
    <w:rsid w:val="004A3675"/>
    <w:rsid w:val="004B0558"/>
    <w:rsid w:val="004D2542"/>
    <w:rsid w:val="004D6060"/>
    <w:rsid w:val="004E2E32"/>
    <w:rsid w:val="004E3B56"/>
    <w:rsid w:val="004F731C"/>
    <w:rsid w:val="00520FA1"/>
    <w:rsid w:val="0052404B"/>
    <w:rsid w:val="00524287"/>
    <w:rsid w:val="00530D48"/>
    <w:rsid w:val="005329B8"/>
    <w:rsid w:val="00547C56"/>
    <w:rsid w:val="0056075E"/>
    <w:rsid w:val="00560DB6"/>
    <w:rsid w:val="005712DD"/>
    <w:rsid w:val="00580CFB"/>
    <w:rsid w:val="005838DC"/>
    <w:rsid w:val="00590E02"/>
    <w:rsid w:val="005A0E02"/>
    <w:rsid w:val="005A10F8"/>
    <w:rsid w:val="005B27BD"/>
    <w:rsid w:val="005B2968"/>
    <w:rsid w:val="005B4786"/>
    <w:rsid w:val="005B6207"/>
    <w:rsid w:val="005D2A04"/>
    <w:rsid w:val="005D5FF5"/>
    <w:rsid w:val="005E7358"/>
    <w:rsid w:val="00601382"/>
    <w:rsid w:val="00613FB5"/>
    <w:rsid w:val="006225DF"/>
    <w:rsid w:val="00632989"/>
    <w:rsid w:val="00636B3F"/>
    <w:rsid w:val="0064027C"/>
    <w:rsid w:val="00641A4C"/>
    <w:rsid w:val="0064354E"/>
    <w:rsid w:val="006470E9"/>
    <w:rsid w:val="00650CA0"/>
    <w:rsid w:val="006530DE"/>
    <w:rsid w:val="00654FB2"/>
    <w:rsid w:val="006751EA"/>
    <w:rsid w:val="00682A19"/>
    <w:rsid w:val="006833C5"/>
    <w:rsid w:val="00685527"/>
    <w:rsid w:val="0069172B"/>
    <w:rsid w:val="00692975"/>
    <w:rsid w:val="00693F73"/>
    <w:rsid w:val="006A7203"/>
    <w:rsid w:val="006B63FD"/>
    <w:rsid w:val="006B6AA5"/>
    <w:rsid w:val="006B79A6"/>
    <w:rsid w:val="006C2611"/>
    <w:rsid w:val="006C2698"/>
    <w:rsid w:val="006C5D39"/>
    <w:rsid w:val="006E089B"/>
    <w:rsid w:val="006E5DB5"/>
    <w:rsid w:val="006F25E4"/>
    <w:rsid w:val="007006E1"/>
    <w:rsid w:val="00706FCA"/>
    <w:rsid w:val="0070707C"/>
    <w:rsid w:val="00713093"/>
    <w:rsid w:val="007230BC"/>
    <w:rsid w:val="00723421"/>
    <w:rsid w:val="00730C21"/>
    <w:rsid w:val="00735867"/>
    <w:rsid w:val="0075479D"/>
    <w:rsid w:val="0075785D"/>
    <w:rsid w:val="00767391"/>
    <w:rsid w:val="0078109D"/>
    <w:rsid w:val="00783156"/>
    <w:rsid w:val="007912A3"/>
    <w:rsid w:val="007927AD"/>
    <w:rsid w:val="007A6544"/>
    <w:rsid w:val="007B61A9"/>
    <w:rsid w:val="007B754B"/>
    <w:rsid w:val="007C664A"/>
    <w:rsid w:val="007E0FD5"/>
    <w:rsid w:val="007F4043"/>
    <w:rsid w:val="0080001D"/>
    <w:rsid w:val="00802E6F"/>
    <w:rsid w:val="00810A29"/>
    <w:rsid w:val="00817C0F"/>
    <w:rsid w:val="008224B6"/>
    <w:rsid w:val="00824AAF"/>
    <w:rsid w:val="0082601E"/>
    <w:rsid w:val="00833F1A"/>
    <w:rsid w:val="00844DBF"/>
    <w:rsid w:val="00850901"/>
    <w:rsid w:val="008515BC"/>
    <w:rsid w:val="00853C3E"/>
    <w:rsid w:val="00877951"/>
    <w:rsid w:val="00877FBB"/>
    <w:rsid w:val="008A3AC1"/>
    <w:rsid w:val="008A468C"/>
    <w:rsid w:val="008B3EDD"/>
    <w:rsid w:val="008C10AD"/>
    <w:rsid w:val="008C2625"/>
    <w:rsid w:val="008C319B"/>
    <w:rsid w:val="008C72E7"/>
    <w:rsid w:val="008E09E0"/>
    <w:rsid w:val="008E6943"/>
    <w:rsid w:val="008F35A0"/>
    <w:rsid w:val="009053DF"/>
    <w:rsid w:val="00911352"/>
    <w:rsid w:val="00926EC8"/>
    <w:rsid w:val="0092703C"/>
    <w:rsid w:val="00930CB2"/>
    <w:rsid w:val="009561C7"/>
    <w:rsid w:val="00960118"/>
    <w:rsid w:val="00995856"/>
    <w:rsid w:val="009A556E"/>
    <w:rsid w:val="009B4A04"/>
    <w:rsid w:val="009B7A37"/>
    <w:rsid w:val="009C379E"/>
    <w:rsid w:val="009C68BA"/>
    <w:rsid w:val="009D19D5"/>
    <w:rsid w:val="009D6CEB"/>
    <w:rsid w:val="009D7A8C"/>
    <w:rsid w:val="009F0B07"/>
    <w:rsid w:val="009F4D7C"/>
    <w:rsid w:val="00A05160"/>
    <w:rsid w:val="00A06949"/>
    <w:rsid w:val="00A10146"/>
    <w:rsid w:val="00A101B6"/>
    <w:rsid w:val="00A10F31"/>
    <w:rsid w:val="00A1493A"/>
    <w:rsid w:val="00A227B3"/>
    <w:rsid w:val="00A24F51"/>
    <w:rsid w:val="00A2528E"/>
    <w:rsid w:val="00A37AE0"/>
    <w:rsid w:val="00A611AA"/>
    <w:rsid w:val="00A6791C"/>
    <w:rsid w:val="00A71BDC"/>
    <w:rsid w:val="00A76543"/>
    <w:rsid w:val="00A83FF8"/>
    <w:rsid w:val="00A90A45"/>
    <w:rsid w:val="00A9171C"/>
    <w:rsid w:val="00AB0224"/>
    <w:rsid w:val="00AB775F"/>
    <w:rsid w:val="00AC012D"/>
    <w:rsid w:val="00AC2E67"/>
    <w:rsid w:val="00AC5D1C"/>
    <w:rsid w:val="00AD024F"/>
    <w:rsid w:val="00AD75B2"/>
    <w:rsid w:val="00AE07AB"/>
    <w:rsid w:val="00AE67BF"/>
    <w:rsid w:val="00B05A46"/>
    <w:rsid w:val="00B10533"/>
    <w:rsid w:val="00B1451B"/>
    <w:rsid w:val="00B14B22"/>
    <w:rsid w:val="00B14DE2"/>
    <w:rsid w:val="00B264B8"/>
    <w:rsid w:val="00B37303"/>
    <w:rsid w:val="00B42856"/>
    <w:rsid w:val="00B43268"/>
    <w:rsid w:val="00B455E2"/>
    <w:rsid w:val="00B47A87"/>
    <w:rsid w:val="00B51F06"/>
    <w:rsid w:val="00B6358D"/>
    <w:rsid w:val="00B63AAA"/>
    <w:rsid w:val="00B7219F"/>
    <w:rsid w:val="00B82B47"/>
    <w:rsid w:val="00B84B5C"/>
    <w:rsid w:val="00B94438"/>
    <w:rsid w:val="00B946E8"/>
    <w:rsid w:val="00BA0E90"/>
    <w:rsid w:val="00BA1FAE"/>
    <w:rsid w:val="00BA5C82"/>
    <w:rsid w:val="00BB4122"/>
    <w:rsid w:val="00BB4C73"/>
    <w:rsid w:val="00BB51B6"/>
    <w:rsid w:val="00BC27B2"/>
    <w:rsid w:val="00BC6DF6"/>
    <w:rsid w:val="00BD2BC3"/>
    <w:rsid w:val="00BD2DE1"/>
    <w:rsid w:val="00BD3D63"/>
    <w:rsid w:val="00BE178C"/>
    <w:rsid w:val="00BE45F6"/>
    <w:rsid w:val="00BF1834"/>
    <w:rsid w:val="00BF740F"/>
    <w:rsid w:val="00C0165B"/>
    <w:rsid w:val="00C033F1"/>
    <w:rsid w:val="00C11F73"/>
    <w:rsid w:val="00C216AC"/>
    <w:rsid w:val="00C225E8"/>
    <w:rsid w:val="00C257E9"/>
    <w:rsid w:val="00C33A69"/>
    <w:rsid w:val="00C36ECF"/>
    <w:rsid w:val="00C47FEC"/>
    <w:rsid w:val="00C55618"/>
    <w:rsid w:val="00C66706"/>
    <w:rsid w:val="00C66E20"/>
    <w:rsid w:val="00C81A9F"/>
    <w:rsid w:val="00C823CE"/>
    <w:rsid w:val="00C93CC4"/>
    <w:rsid w:val="00C9489D"/>
    <w:rsid w:val="00C970A4"/>
    <w:rsid w:val="00CC031C"/>
    <w:rsid w:val="00CC1F59"/>
    <w:rsid w:val="00CC6879"/>
    <w:rsid w:val="00CD05E5"/>
    <w:rsid w:val="00CD125F"/>
    <w:rsid w:val="00CD6696"/>
    <w:rsid w:val="00CE6505"/>
    <w:rsid w:val="00CE65A2"/>
    <w:rsid w:val="00D00CE1"/>
    <w:rsid w:val="00D17585"/>
    <w:rsid w:val="00D21BFE"/>
    <w:rsid w:val="00D25511"/>
    <w:rsid w:val="00D27316"/>
    <w:rsid w:val="00D3030A"/>
    <w:rsid w:val="00D32D1D"/>
    <w:rsid w:val="00D35347"/>
    <w:rsid w:val="00D610A8"/>
    <w:rsid w:val="00D74300"/>
    <w:rsid w:val="00D755DE"/>
    <w:rsid w:val="00D80E80"/>
    <w:rsid w:val="00D940CC"/>
    <w:rsid w:val="00D948BF"/>
    <w:rsid w:val="00DA1F27"/>
    <w:rsid w:val="00DA5A46"/>
    <w:rsid w:val="00DC2B09"/>
    <w:rsid w:val="00DE1F6D"/>
    <w:rsid w:val="00DE313D"/>
    <w:rsid w:val="00DF4375"/>
    <w:rsid w:val="00DF4659"/>
    <w:rsid w:val="00DF623B"/>
    <w:rsid w:val="00E01E26"/>
    <w:rsid w:val="00E0707A"/>
    <w:rsid w:val="00E122E2"/>
    <w:rsid w:val="00E16882"/>
    <w:rsid w:val="00E168EF"/>
    <w:rsid w:val="00E17865"/>
    <w:rsid w:val="00E2043A"/>
    <w:rsid w:val="00E37CD9"/>
    <w:rsid w:val="00E44844"/>
    <w:rsid w:val="00E5006E"/>
    <w:rsid w:val="00E57187"/>
    <w:rsid w:val="00E77BF0"/>
    <w:rsid w:val="00E93D50"/>
    <w:rsid w:val="00EB27D0"/>
    <w:rsid w:val="00EB5502"/>
    <w:rsid w:val="00EB694B"/>
    <w:rsid w:val="00ED5973"/>
    <w:rsid w:val="00EE4859"/>
    <w:rsid w:val="00EF1073"/>
    <w:rsid w:val="00EF619B"/>
    <w:rsid w:val="00F00EA9"/>
    <w:rsid w:val="00F02128"/>
    <w:rsid w:val="00F05DE0"/>
    <w:rsid w:val="00F11380"/>
    <w:rsid w:val="00F35BCC"/>
    <w:rsid w:val="00F425CA"/>
    <w:rsid w:val="00F426DD"/>
    <w:rsid w:val="00F45CBC"/>
    <w:rsid w:val="00F52409"/>
    <w:rsid w:val="00F53514"/>
    <w:rsid w:val="00F56BCE"/>
    <w:rsid w:val="00F65B5B"/>
    <w:rsid w:val="00F74859"/>
    <w:rsid w:val="00F80AC7"/>
    <w:rsid w:val="00F87B5A"/>
    <w:rsid w:val="00FA25C9"/>
    <w:rsid w:val="00FB068E"/>
    <w:rsid w:val="00FB413B"/>
    <w:rsid w:val="00FB627F"/>
    <w:rsid w:val="00FD3762"/>
    <w:rsid w:val="00FD3CDF"/>
    <w:rsid w:val="00FD736B"/>
    <w:rsid w:val="00FE0DBC"/>
    <w:rsid w:val="00FE381D"/>
    <w:rsid w:val="00FE7C1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DF5EA5"/>
  <w15:chartTrackingRefBased/>
  <w15:docId w15:val="{F24D379E-8C16-4D16-AA10-FD6BB84B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2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2" w:unhideWhenUsed="1" w:qFormat="1"/>
    <w:lsdException w:name="Intense Reference" w:semiHidden="1" w:uiPriority="33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7391"/>
    <w:pPr>
      <w:widowControl w:val="0"/>
      <w:jc w:val="both"/>
    </w:pPr>
    <w:rPr>
      <w:lang w:val="en-GB"/>
    </w:rPr>
  </w:style>
  <w:style w:type="paragraph" w:styleId="Kop1">
    <w:name w:val="heading 1"/>
    <w:basedOn w:val="Standaard"/>
    <w:next w:val="Standaard"/>
    <w:uiPriority w:val="1"/>
    <w:qFormat/>
    <w:rsid w:val="006751EA"/>
    <w:pPr>
      <w:keepNext/>
      <w:keepLines/>
      <w:outlineLvl w:val="0"/>
    </w:pPr>
    <w:rPr>
      <w:b/>
      <w:smallCaps/>
    </w:rPr>
  </w:style>
  <w:style w:type="paragraph" w:styleId="Kop2">
    <w:name w:val="heading 2"/>
    <w:basedOn w:val="Standaard"/>
    <w:next w:val="Standaard"/>
    <w:uiPriority w:val="1"/>
    <w:qFormat/>
    <w:rsid w:val="006751EA"/>
    <w:pPr>
      <w:keepNext/>
      <w:keepLines/>
      <w:outlineLvl w:val="1"/>
    </w:pPr>
    <w:rPr>
      <w:b/>
    </w:rPr>
  </w:style>
  <w:style w:type="paragraph" w:styleId="Kop3">
    <w:name w:val="heading 3"/>
    <w:basedOn w:val="Standaard"/>
    <w:next w:val="Standaard"/>
    <w:uiPriority w:val="1"/>
    <w:qFormat/>
    <w:rsid w:val="006751EA"/>
    <w:pPr>
      <w:keepNext/>
      <w:keepLines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2"/>
    <w:unhideWhenUsed/>
    <w:rsid w:val="00E16882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2"/>
    <w:unhideWhenUsed/>
    <w:rsid w:val="006751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154DB1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154DB1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54DB1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54DB1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6751EA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</w:rPr>
  </w:style>
  <w:style w:type="paragraph" w:styleId="Inhopg2">
    <w:name w:val="toc 2"/>
    <w:basedOn w:val="Standaard"/>
    <w:next w:val="Standaard"/>
    <w:autoRedefine/>
    <w:semiHidden/>
    <w:rsid w:val="006751EA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Inhopg3">
    <w:name w:val="toc 3"/>
    <w:basedOn w:val="Standaard"/>
    <w:next w:val="Standaard"/>
    <w:autoRedefine/>
    <w:semiHidden/>
    <w:rsid w:val="006751EA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styleId="Voetnoottekst">
    <w:name w:val="footnote text"/>
    <w:basedOn w:val="Standaard"/>
    <w:semiHidden/>
    <w:rsid w:val="000E2410"/>
    <w:rPr>
      <w:sz w:val="20"/>
    </w:rPr>
  </w:style>
  <w:style w:type="character" w:styleId="Voetnootmarkering">
    <w:name w:val="footnote reference"/>
    <w:semiHidden/>
    <w:rsid w:val="006751EA"/>
    <w:rPr>
      <w:vertAlign w:val="superscript"/>
    </w:rPr>
  </w:style>
  <w:style w:type="character" w:styleId="Paginanummer">
    <w:name w:val="page number"/>
    <w:basedOn w:val="Standaardalinea-lettertype"/>
    <w:semiHidden/>
    <w:rsid w:val="006751EA"/>
  </w:style>
  <w:style w:type="character" w:customStyle="1" w:styleId="Kop4Char">
    <w:name w:val="Kop 4 Char"/>
    <w:link w:val="Kop4"/>
    <w:uiPriority w:val="2"/>
    <w:rsid w:val="00E16882"/>
    <w:rPr>
      <w:rFonts w:eastAsiaTheme="majorEastAsi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751EA"/>
    <w:pPr>
      <w:contextualSpacing/>
      <w:jc w:val="center"/>
    </w:pPr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elChar">
    <w:name w:val="Titel Char"/>
    <w:link w:val="Titel"/>
    <w:uiPriority w:val="10"/>
    <w:semiHidden/>
    <w:rsid w:val="006751EA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Kop5Char">
    <w:name w:val="Kop 5 Char"/>
    <w:link w:val="Kop5"/>
    <w:uiPriority w:val="2"/>
    <w:rsid w:val="00E16882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BE45F6"/>
    <w:rPr>
      <w:rFonts w:eastAsiaTheme="majorEastAsia" w:cstheme="majorBidi"/>
      <w:iCs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BE45F6"/>
    <w:rPr>
      <w:rFonts w:eastAsiaTheme="majorEastAsia" w:cstheme="majorBidi"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54DB1"/>
    <w:rPr>
      <w:rFonts w:eastAsiaTheme="majorEastAsia" w:cstheme="majorBidi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54DB1"/>
    <w:rPr>
      <w:rFonts w:eastAsiaTheme="majorEastAsia" w:cstheme="majorBidi"/>
      <w:i/>
      <w:iCs/>
      <w:szCs w:val="20"/>
    </w:rPr>
  </w:style>
  <w:style w:type="paragraph" w:styleId="Lijstalinea">
    <w:name w:val="List Paragraph"/>
    <w:basedOn w:val="Standaard"/>
    <w:uiPriority w:val="34"/>
    <w:semiHidden/>
    <w:qFormat/>
    <w:rsid w:val="00BE45F6"/>
    <w:pPr>
      <w:ind w:left="720"/>
      <w:contextualSpacing/>
    </w:pPr>
  </w:style>
  <w:style w:type="paragraph" w:customStyle="1" w:styleId="Citazione">
    <w:name w:val="Citazione"/>
    <w:basedOn w:val="Standaard"/>
    <w:uiPriority w:val="2"/>
    <w:qFormat/>
    <w:rsid w:val="00BE45F6"/>
    <w:pPr>
      <w:spacing w:before="240"/>
      <w:ind w:left="709" w:right="709"/>
    </w:pPr>
    <w:rPr>
      <w:sz w:val="22"/>
      <w:szCs w:val="20"/>
    </w:rPr>
  </w:style>
  <w:style w:type="paragraph" w:customStyle="1" w:styleId="Citazionerientrata">
    <w:name w:val="Citazione rientrata"/>
    <w:basedOn w:val="Citazione"/>
    <w:uiPriority w:val="2"/>
    <w:qFormat/>
    <w:rsid w:val="00BE45F6"/>
    <w:pPr>
      <w:ind w:left="1418"/>
    </w:pPr>
  </w:style>
  <w:style w:type="paragraph" w:customStyle="1" w:styleId="TestoNumerato">
    <w:name w:val="Testo Numerato"/>
    <w:basedOn w:val="Standaard"/>
    <w:uiPriority w:val="2"/>
    <w:qFormat/>
    <w:rsid w:val="00BE45F6"/>
    <w:pPr>
      <w:numPr>
        <w:numId w:val="24"/>
      </w:numPr>
    </w:pPr>
    <w:rPr>
      <w:szCs w:val="20"/>
    </w:rPr>
  </w:style>
  <w:style w:type="character" w:styleId="Hyperlink">
    <w:name w:val="Hyperlink"/>
    <w:basedOn w:val="Standaardalinea-lettertype"/>
    <w:uiPriority w:val="99"/>
    <w:unhideWhenUsed/>
    <w:rsid w:val="00E2043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43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4326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3268"/>
  </w:style>
  <w:style w:type="paragraph" w:styleId="Voettekst">
    <w:name w:val="footer"/>
    <w:basedOn w:val="Standaard"/>
    <w:link w:val="VoettekstChar"/>
    <w:uiPriority w:val="99"/>
    <w:unhideWhenUsed/>
    <w:rsid w:val="00B4326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3268"/>
  </w:style>
  <w:style w:type="character" w:styleId="Verwijzingopmerking">
    <w:name w:val="annotation reference"/>
    <w:basedOn w:val="Standaardalinea-lettertype"/>
    <w:uiPriority w:val="99"/>
    <w:semiHidden/>
    <w:unhideWhenUsed/>
    <w:rsid w:val="00BA5C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5C8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5C82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5C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5C82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03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3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82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7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F04C-5D0F-411A-B130-48812EA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BonelliErede</dc:creator>
  <cp:keywords>[SEC=Internal]</cp:keywords>
  <dc:description/>
  <cp:lastModifiedBy>Ann van den Berg</cp:lastModifiedBy>
  <cp:revision>2</cp:revision>
  <cp:lastPrinted>2021-09-09T06:52:00Z</cp:lastPrinted>
  <dcterms:created xsi:type="dcterms:W3CDTF">2021-09-11T09:47:00Z</dcterms:created>
  <dcterms:modified xsi:type="dcterms:W3CDTF">2021-09-11T09:47:00Z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Internal</vt:lpwstr>
  </property>
  <property fmtid="{D5CDD505-2E9C-101B-9397-08002B2CF9AE}" pid="3" name="PM_Caveats_Count">
    <vt:lpwstr>0</vt:lpwstr>
  </property>
  <property fmtid="{D5CDD505-2E9C-101B-9397-08002B2CF9AE}" pid="4" name="PM_Originator_Hash_SHA1">
    <vt:lpwstr>EE08B9F1AEE217FDDF50D092701A6E91DC321890</vt:lpwstr>
  </property>
  <property fmtid="{D5CDD505-2E9C-101B-9397-08002B2CF9AE}" pid="5" name="PM_SecurityClassification">
    <vt:lpwstr>Internal</vt:lpwstr>
  </property>
  <property fmtid="{D5CDD505-2E9C-101B-9397-08002B2CF9AE}" pid="6" name="PM_DisplayValueSecClassificationWithQualifier">
    <vt:lpwstr>Internal</vt:lpwstr>
  </property>
  <property fmtid="{D5CDD505-2E9C-101B-9397-08002B2CF9AE}" pid="7" name="PM_Qualifier">
    <vt:lpwstr/>
  </property>
  <property fmtid="{D5CDD505-2E9C-101B-9397-08002B2CF9AE}" pid="8" name="PM_Hash_SHA1">
    <vt:lpwstr>C440B4424151104991D6F95944FB6A50E182CF33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Internal</vt:lpwstr>
  </property>
  <property fmtid="{D5CDD505-2E9C-101B-9397-08002B2CF9AE}" pid="11" name="PM_ProtectiveMarkingValue_Header">
    <vt:lpwstr>Internal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2018.2.belex.com</vt:lpwstr>
  </property>
  <property fmtid="{D5CDD505-2E9C-101B-9397-08002B2CF9AE}" pid="14" name="PM_Version">
    <vt:lpwstr>2005.6</vt:lpwstr>
  </property>
  <property fmtid="{D5CDD505-2E9C-101B-9397-08002B2CF9AE}" pid="15" name="PM_Originating_FileId">
    <vt:lpwstr>23308BE5CFD44459A1E8D70687A9E611</vt:lpwstr>
  </property>
  <property fmtid="{D5CDD505-2E9C-101B-9397-08002B2CF9AE}" pid="16" name="PM_OriginationTimeStamp">
    <vt:lpwstr>2021-03-22T15:26:51Z</vt:lpwstr>
  </property>
  <property fmtid="{D5CDD505-2E9C-101B-9397-08002B2CF9AE}" pid="17" name="PM_Hash_Version">
    <vt:lpwstr>2016.1</vt:lpwstr>
  </property>
  <property fmtid="{D5CDD505-2E9C-101B-9397-08002B2CF9AE}" pid="18" name="PM_Hash_Salt_Prev">
    <vt:lpwstr>25C4128F912267A30BEF280D4973DE67</vt:lpwstr>
  </property>
  <property fmtid="{D5CDD505-2E9C-101B-9397-08002B2CF9AE}" pid="19" name="PM_Hash_Salt">
    <vt:lpwstr>25C4128F912267A30BEF280D4973DE67</vt:lpwstr>
  </property>
</Properties>
</file>