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410B2" w14:textId="65DC4B97" w:rsidR="009E4653" w:rsidRDefault="009E4653" w:rsidP="009E4653">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bookmarkStart w:id="0" w:name="_GoBack"/>
      <w:bookmarkEnd w:id="0"/>
      <w:r w:rsidRPr="009E4653">
        <w:rPr>
          <w:noProof/>
          <w:u w:val="none"/>
          <w:lang w:val="nl-NL" w:eastAsia="nl-NL"/>
        </w:rPr>
        <w:drawing>
          <wp:inline distT="0" distB="0" distL="0" distR="0" wp14:anchorId="4F4CCA2E" wp14:editId="157333D1">
            <wp:extent cx="969010" cy="960120"/>
            <wp:effectExtent l="0" t="0" r="254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stretch>
                      <a:fillRect/>
                    </a:stretch>
                  </pic:blipFill>
                  <pic:spPr>
                    <a:xfrm>
                      <a:off x="0" y="0"/>
                      <a:ext cx="969010" cy="960120"/>
                    </a:xfrm>
                    <a:prstGeom prst="rect">
                      <a:avLst/>
                    </a:prstGeom>
                  </pic:spPr>
                </pic:pic>
              </a:graphicData>
            </a:graphic>
          </wp:inline>
        </w:drawing>
      </w:r>
    </w:p>
    <w:p w14:paraId="5AF2631D" w14:textId="462EEA6C" w:rsidR="005E2342" w:rsidRDefault="005E2342">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IN THE HIGH COURT OF JUSTICE</w:t>
      </w:r>
    </w:p>
    <w:p w14:paraId="570C78C8" w14:textId="30E649F9" w:rsidR="00050487" w:rsidRDefault="00050487">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BUSINESS AND PROPERTY COURTS</w:t>
      </w:r>
      <w:r w:rsidR="00CF5343">
        <w:t xml:space="preserve"> OF ENGLAND AND WALES</w:t>
      </w:r>
    </w:p>
    <w:p w14:paraId="6DFD7E61" w14:textId="26CE0DB7" w:rsidR="00CF5343" w:rsidRDefault="00352509">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PATENTS COURT</w:t>
      </w:r>
      <w:r w:rsidR="00CF5343">
        <w:t xml:space="preserve"> (ChD)</w:t>
      </w:r>
    </w:p>
    <w:p w14:paraId="372CEE0A" w14:textId="20CD2CA7" w:rsidR="005E2342" w:rsidRDefault="00D41AF6">
      <w:pPr>
        <w:suppressAutoHyphens/>
        <w:rPr>
          <w:b/>
          <w:spacing w:val="-3"/>
          <w:u w:val="single"/>
        </w:rPr>
      </w:pPr>
      <w:r>
        <w:rPr>
          <w:b/>
          <w:spacing w:val="-3"/>
          <w:u w:val="single"/>
        </w:rPr>
        <w:t>SHORTER TRIAL</w:t>
      </w:r>
      <w:r w:rsidR="004A16E8">
        <w:rPr>
          <w:b/>
          <w:spacing w:val="-3"/>
          <w:u w:val="single"/>
        </w:rPr>
        <w:t xml:space="preserve"> SCHEME</w:t>
      </w:r>
    </w:p>
    <w:p w14:paraId="51B4B984" w14:textId="77777777" w:rsidR="005E2342" w:rsidRDefault="005E2342">
      <w:pPr>
        <w:suppressAutoHyphens/>
        <w:rPr>
          <w:b/>
          <w:spacing w:val="-3"/>
          <w:u w:val="single"/>
        </w:rPr>
      </w:pPr>
    </w:p>
    <w:p w14:paraId="1D3DEC86" w14:textId="77777777" w:rsidR="005E2342" w:rsidRDefault="000B0E4A">
      <w:pPr>
        <w:pStyle w:val="CoverText"/>
      </w:pPr>
      <w:r>
        <w:t>Rolls Building</w:t>
      </w:r>
    </w:p>
    <w:p w14:paraId="6BA795E9" w14:textId="77777777" w:rsidR="000B0E4A" w:rsidRDefault="000B0E4A">
      <w:pPr>
        <w:pStyle w:val="CoverText"/>
      </w:pPr>
      <w:r>
        <w:t>New Fetter Lane</w:t>
      </w:r>
    </w:p>
    <w:p w14:paraId="172F058E" w14:textId="77777777" w:rsidR="000B0E4A" w:rsidRDefault="000B0E4A">
      <w:pPr>
        <w:pStyle w:val="CoverText"/>
      </w:pPr>
      <w:r>
        <w:t xml:space="preserve">London </w:t>
      </w:r>
    </w:p>
    <w:p w14:paraId="01F4E072" w14:textId="77777777" w:rsidR="005E2342" w:rsidRDefault="005E2342">
      <w:pPr>
        <w:suppressAutoHyphens/>
        <w:jc w:val="right"/>
        <w:rPr>
          <w:spacing w:val="-3"/>
          <w:u w:val="single"/>
        </w:rPr>
      </w:pPr>
    </w:p>
    <w:p w14:paraId="144CC1E0" w14:textId="4A73CCA2" w:rsidR="009F52F7" w:rsidRDefault="009F52F7">
      <w:pPr>
        <w:pStyle w:val="CoverText"/>
      </w:pPr>
      <w:r>
        <w:t>Neutral Citation Number:</w:t>
      </w:r>
      <w:r w:rsidR="00CF5343">
        <w:t xml:space="preserve"> [2019</w:t>
      </w:r>
      <w:r w:rsidR="00DC3C24">
        <w:t>] EWHC 3175 (Pat)</w:t>
      </w:r>
      <w:r w:rsidR="004A16E8">
        <w:t xml:space="preserve"> </w:t>
      </w:r>
      <w:r>
        <w:t xml:space="preserve"> </w:t>
      </w:r>
    </w:p>
    <w:p w14:paraId="2A53304F" w14:textId="598C3B87" w:rsidR="005E2342" w:rsidRDefault="005E2342">
      <w:pPr>
        <w:pStyle w:val="CoverText"/>
        <w:rPr>
          <w:b/>
        </w:rPr>
      </w:pPr>
      <w:r>
        <w:t xml:space="preserve">Date: </w:t>
      </w:r>
      <w:r w:rsidR="00393F2B">
        <w:t>21</w:t>
      </w:r>
      <w:r w:rsidR="00413300">
        <w:t xml:space="preserve"> November</w:t>
      </w:r>
      <w:r w:rsidR="00E95327">
        <w:t xml:space="preserve"> </w:t>
      </w:r>
      <w:r w:rsidR="00CF5343">
        <w:t>2019</w:t>
      </w:r>
      <w:r>
        <w:t xml:space="preserve"> </w:t>
      </w:r>
    </w:p>
    <w:p w14:paraId="547117B3" w14:textId="77777777" w:rsidR="005E2342" w:rsidRDefault="005E2342">
      <w:pPr>
        <w:suppressAutoHyphens/>
        <w:rPr>
          <w:spacing w:val="-3"/>
        </w:rPr>
      </w:pPr>
    </w:p>
    <w:p w14:paraId="11A70612" w14:textId="6202FA21" w:rsidR="005E2342" w:rsidRDefault="00C53655">
      <w:pPr>
        <w:suppressAutoHyphens/>
        <w:jc w:val="center"/>
        <w:rPr>
          <w:spacing w:val="-3"/>
        </w:rPr>
      </w:pPr>
      <w:r>
        <w:rPr>
          <w:b/>
          <w:spacing w:val="-3"/>
        </w:rPr>
        <w:t>Before</w:t>
      </w:r>
      <w:r>
        <w:rPr>
          <w:spacing w:val="-3"/>
        </w:rPr>
        <w:t>:</w:t>
      </w:r>
    </w:p>
    <w:p w14:paraId="4FA0A46C" w14:textId="77777777" w:rsidR="005E2342" w:rsidRDefault="005E2342">
      <w:pPr>
        <w:suppressAutoHyphens/>
        <w:jc w:val="center"/>
        <w:rPr>
          <w:spacing w:val="-3"/>
        </w:rPr>
      </w:pPr>
    </w:p>
    <w:p w14:paraId="60D0B2CD" w14:textId="77777777" w:rsidR="005E2342" w:rsidRDefault="000B0E4A">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HER HONOUR JUDGE MELISSA CLARKE</w:t>
      </w:r>
    </w:p>
    <w:p w14:paraId="045DC3A1" w14:textId="168865D0" w:rsidR="00413300" w:rsidRDefault="00413300">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sitting as a Judge of the High Court</w:t>
      </w:r>
    </w:p>
    <w:p w14:paraId="41684E12" w14:textId="77777777" w:rsidR="005E2342" w:rsidRDefault="005E2342">
      <w:pPr>
        <w:suppressAutoHyphens/>
        <w:jc w:val="center"/>
        <w:rPr>
          <w:spacing w:val="-3"/>
        </w:rPr>
      </w:pPr>
      <w:r>
        <w:rPr>
          <w:spacing w:val="-3"/>
        </w:rPr>
        <w:t>- - - - - - - - - - - - - - - - - - - - -</w:t>
      </w:r>
    </w:p>
    <w:p w14:paraId="5987DC15" w14:textId="0EBF30F9" w:rsidR="005E2342" w:rsidRDefault="005C3EFF" w:rsidP="005C3EFF">
      <w:pPr>
        <w:suppressAutoHyphens/>
        <w:rPr>
          <w:b/>
          <w:spacing w:val="-3"/>
        </w:rPr>
      </w:pPr>
      <w:r>
        <w:rPr>
          <w:b/>
          <w:spacing w:val="-3"/>
        </w:rPr>
        <w:t>B</w:t>
      </w:r>
      <w:r w:rsidR="00CF5343">
        <w:rPr>
          <w:b/>
          <w:spacing w:val="-3"/>
        </w:rPr>
        <w:t xml:space="preserve"> </w:t>
      </w:r>
      <w:r>
        <w:rPr>
          <w:b/>
          <w:spacing w:val="-3"/>
        </w:rPr>
        <w:t>E</w:t>
      </w:r>
      <w:r w:rsidR="00CF5343">
        <w:rPr>
          <w:b/>
          <w:spacing w:val="-3"/>
        </w:rPr>
        <w:t xml:space="preserve"> </w:t>
      </w:r>
      <w:r>
        <w:rPr>
          <w:b/>
          <w:spacing w:val="-3"/>
        </w:rPr>
        <w:t>T</w:t>
      </w:r>
      <w:r w:rsidR="00CF5343">
        <w:rPr>
          <w:b/>
          <w:spacing w:val="-3"/>
        </w:rPr>
        <w:t xml:space="preserve"> </w:t>
      </w:r>
      <w:r>
        <w:rPr>
          <w:b/>
          <w:spacing w:val="-3"/>
        </w:rPr>
        <w:t>W</w:t>
      </w:r>
      <w:r w:rsidR="00CF5343">
        <w:rPr>
          <w:b/>
          <w:spacing w:val="-3"/>
        </w:rPr>
        <w:t xml:space="preserve"> </w:t>
      </w:r>
      <w:r>
        <w:rPr>
          <w:b/>
          <w:spacing w:val="-3"/>
        </w:rPr>
        <w:t>E</w:t>
      </w:r>
      <w:r w:rsidR="00CF5343">
        <w:rPr>
          <w:b/>
          <w:spacing w:val="-3"/>
        </w:rPr>
        <w:t xml:space="preserve"> </w:t>
      </w:r>
      <w:r>
        <w:rPr>
          <w:b/>
          <w:spacing w:val="-3"/>
        </w:rPr>
        <w:t>E</w:t>
      </w:r>
      <w:r w:rsidR="00CF5343">
        <w:rPr>
          <w:b/>
          <w:spacing w:val="-3"/>
        </w:rPr>
        <w:t xml:space="preserve"> </w:t>
      </w:r>
      <w:r>
        <w:rPr>
          <w:b/>
          <w:spacing w:val="-3"/>
        </w:rPr>
        <w:t>N</w:t>
      </w:r>
      <w:r w:rsidR="005E2342">
        <w:rPr>
          <w:b/>
          <w:spacing w:val="-3"/>
        </w:rPr>
        <w:t xml:space="preserve"> :</w:t>
      </w:r>
    </w:p>
    <w:p w14:paraId="4C12FFC6" w14:textId="299C6995" w:rsidR="005C3EFF" w:rsidRDefault="004A16E8" w:rsidP="005C3EFF">
      <w:pPr>
        <w:pStyle w:val="CoverText"/>
        <w:rPr>
          <w:b/>
          <w:spacing w:val="-3"/>
        </w:rPr>
      </w:pPr>
      <w:r>
        <w:t>Claim No: BL-2018-000034</w:t>
      </w:r>
    </w:p>
    <w:p w14:paraId="0FEB2939" w14:textId="77777777" w:rsidR="005C3EFF" w:rsidRDefault="005C3EFF" w:rsidP="005C3EFF">
      <w:pPr>
        <w:suppressAutoHyphens/>
        <w:jc w:val="right"/>
        <w:rPr>
          <w:b/>
          <w:spacing w:val="-3"/>
        </w:rPr>
      </w:pPr>
    </w:p>
    <w:p w14:paraId="4B991E76" w14:textId="77777777" w:rsidR="005E2342" w:rsidRDefault="005E2342">
      <w:pPr>
        <w:suppressAutoHyphens/>
        <w:rPr>
          <w:b/>
          <w:spacing w:val="-3"/>
        </w:rPr>
      </w:pPr>
    </w:p>
    <w:tbl>
      <w:tblPr>
        <w:tblW w:w="9126" w:type="dxa"/>
        <w:jc w:val="center"/>
        <w:tblLayout w:type="fixed"/>
        <w:tblLook w:val="0000" w:firstRow="0" w:lastRow="0" w:firstColumn="0" w:lastColumn="0" w:noHBand="0" w:noVBand="0"/>
      </w:tblPr>
      <w:tblGrid>
        <w:gridCol w:w="1776"/>
        <w:gridCol w:w="5568"/>
        <w:gridCol w:w="1782"/>
      </w:tblGrid>
      <w:tr w:rsidR="005E2342" w14:paraId="57BF9469" w14:textId="77777777" w:rsidTr="005C3EFF">
        <w:trPr>
          <w:jc w:val="center"/>
        </w:trPr>
        <w:tc>
          <w:tcPr>
            <w:tcW w:w="1776" w:type="dxa"/>
          </w:tcPr>
          <w:p w14:paraId="4C327BE5" w14:textId="77777777" w:rsidR="005E2342" w:rsidRDefault="005E2342">
            <w:pPr>
              <w:suppressAutoHyphens/>
              <w:rPr>
                <w:b/>
                <w:spacing w:val="-3"/>
              </w:rPr>
            </w:pPr>
          </w:p>
        </w:tc>
        <w:tc>
          <w:tcPr>
            <w:tcW w:w="5568" w:type="dxa"/>
          </w:tcPr>
          <w:p w14:paraId="47C7D0AA" w14:textId="26B9824B" w:rsidR="005E2342" w:rsidRPr="00CF5343" w:rsidRDefault="004A16E8" w:rsidP="00CF5343">
            <w:pPr>
              <w:suppressAutoHyphens/>
              <w:ind w:left="360"/>
              <w:jc w:val="center"/>
              <w:rPr>
                <w:b/>
                <w:spacing w:val="-3"/>
              </w:rPr>
            </w:pPr>
            <w:r>
              <w:rPr>
                <w:b/>
                <w:spacing w:val="-3"/>
              </w:rPr>
              <w:t>EXCEL-EUCAN LIMITED</w:t>
            </w:r>
          </w:p>
          <w:p w14:paraId="005956D6" w14:textId="77777777" w:rsidR="00263D3F" w:rsidRPr="00263D3F" w:rsidRDefault="00263D3F" w:rsidP="00263D3F">
            <w:pPr>
              <w:pStyle w:val="Lijstalinea"/>
              <w:suppressAutoHyphens/>
              <w:rPr>
                <w:b/>
                <w:spacing w:val="-3"/>
              </w:rPr>
            </w:pPr>
          </w:p>
          <w:p w14:paraId="579CE6BE" w14:textId="77777777" w:rsidR="008B7721" w:rsidRDefault="008B7721" w:rsidP="00050487">
            <w:pPr>
              <w:pStyle w:val="Lijstalinea"/>
              <w:suppressAutoHyphens/>
              <w:rPr>
                <w:b/>
                <w:spacing w:val="-3"/>
              </w:rPr>
            </w:pPr>
          </w:p>
        </w:tc>
        <w:tc>
          <w:tcPr>
            <w:tcW w:w="1782" w:type="dxa"/>
          </w:tcPr>
          <w:p w14:paraId="394CF0D3" w14:textId="68CB17FF" w:rsidR="005E2342" w:rsidRDefault="008B7721">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Claimant</w:t>
            </w:r>
          </w:p>
        </w:tc>
      </w:tr>
      <w:tr w:rsidR="005E2342" w14:paraId="0066B87E" w14:textId="77777777" w:rsidTr="005C3EFF">
        <w:trPr>
          <w:jc w:val="center"/>
        </w:trPr>
        <w:tc>
          <w:tcPr>
            <w:tcW w:w="1776" w:type="dxa"/>
          </w:tcPr>
          <w:p w14:paraId="6BAD5E1A" w14:textId="4E249F2C" w:rsidR="005E2342" w:rsidRDefault="005E2342">
            <w:pPr>
              <w:suppressAutoHyphens/>
              <w:rPr>
                <w:b/>
                <w:spacing w:val="-3"/>
              </w:rPr>
            </w:pPr>
          </w:p>
        </w:tc>
        <w:tc>
          <w:tcPr>
            <w:tcW w:w="5568" w:type="dxa"/>
          </w:tcPr>
          <w:p w14:paraId="7500031A" w14:textId="77777777" w:rsidR="005E2342" w:rsidRDefault="005E2342">
            <w:pPr>
              <w:suppressAutoHyphens/>
              <w:jc w:val="center"/>
              <w:rPr>
                <w:b/>
                <w:spacing w:val="-3"/>
              </w:rPr>
            </w:pPr>
            <w:r>
              <w:rPr>
                <w:b/>
                <w:spacing w:val="-3"/>
              </w:rPr>
              <w:t>- and -</w:t>
            </w:r>
          </w:p>
          <w:p w14:paraId="1C83FFCC" w14:textId="77777777" w:rsidR="008B7721" w:rsidRDefault="008B7721">
            <w:pPr>
              <w:suppressAutoHyphens/>
              <w:jc w:val="center"/>
              <w:rPr>
                <w:b/>
                <w:spacing w:val="-3"/>
              </w:rPr>
            </w:pPr>
          </w:p>
        </w:tc>
        <w:tc>
          <w:tcPr>
            <w:tcW w:w="1782" w:type="dxa"/>
          </w:tcPr>
          <w:p w14:paraId="0EF8F8A0" w14:textId="77777777" w:rsidR="005E2342" w:rsidRDefault="005E2342">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p>
        </w:tc>
      </w:tr>
      <w:tr w:rsidR="005E2342" w14:paraId="39433A58" w14:textId="77777777" w:rsidTr="005C3EFF">
        <w:trPr>
          <w:jc w:val="center"/>
        </w:trPr>
        <w:tc>
          <w:tcPr>
            <w:tcW w:w="1776" w:type="dxa"/>
          </w:tcPr>
          <w:p w14:paraId="7FC06D3F" w14:textId="77777777" w:rsidR="005E2342" w:rsidRDefault="005E2342">
            <w:pPr>
              <w:suppressAutoHyphens/>
              <w:rPr>
                <w:b/>
                <w:spacing w:val="-3"/>
              </w:rPr>
            </w:pPr>
          </w:p>
        </w:tc>
        <w:tc>
          <w:tcPr>
            <w:tcW w:w="5568" w:type="dxa"/>
          </w:tcPr>
          <w:p w14:paraId="7752A282" w14:textId="230208EB" w:rsidR="008B7721" w:rsidRDefault="004A16E8" w:rsidP="004A16E8">
            <w:pPr>
              <w:suppressAutoHyphens/>
              <w:ind w:left="360"/>
              <w:jc w:val="center"/>
              <w:rPr>
                <w:b/>
                <w:spacing w:val="-3"/>
              </w:rPr>
            </w:pPr>
            <w:r>
              <w:rPr>
                <w:b/>
                <w:spacing w:val="-3"/>
              </w:rPr>
              <w:t>SOURCE VAGABOND SYSTEMS LIMITED</w:t>
            </w:r>
          </w:p>
          <w:p w14:paraId="201CE98D" w14:textId="10389952" w:rsidR="004A16E8" w:rsidRDefault="004A16E8" w:rsidP="004A16E8">
            <w:pPr>
              <w:suppressAutoHyphens/>
              <w:ind w:left="360"/>
              <w:jc w:val="center"/>
              <w:rPr>
                <w:b/>
                <w:spacing w:val="-3"/>
              </w:rPr>
            </w:pPr>
            <w:r>
              <w:rPr>
                <w:b/>
                <w:spacing w:val="-3"/>
              </w:rPr>
              <w:t>(A Company incorporated in Israel)</w:t>
            </w:r>
          </w:p>
          <w:p w14:paraId="73D4BDF6" w14:textId="5CA2BB4A" w:rsidR="00050487" w:rsidRDefault="00050487" w:rsidP="004A16E8">
            <w:pPr>
              <w:suppressAutoHyphens/>
              <w:rPr>
                <w:b/>
                <w:spacing w:val="-3"/>
              </w:rPr>
            </w:pPr>
          </w:p>
          <w:p w14:paraId="38314505" w14:textId="77777777" w:rsidR="000B0E4A" w:rsidRDefault="000B0E4A" w:rsidP="005C3EFF">
            <w:pPr>
              <w:suppressAutoHyphens/>
              <w:ind w:left="720"/>
              <w:rPr>
                <w:b/>
                <w:spacing w:val="-3"/>
              </w:rPr>
            </w:pPr>
          </w:p>
          <w:p w14:paraId="5531AAF4" w14:textId="77777777" w:rsidR="005C3EFF" w:rsidRDefault="005C3EFF" w:rsidP="005C3EFF">
            <w:pPr>
              <w:suppressAutoHyphens/>
              <w:ind w:left="720"/>
              <w:rPr>
                <w:b/>
                <w:spacing w:val="-3"/>
              </w:rPr>
            </w:pPr>
          </w:p>
        </w:tc>
        <w:tc>
          <w:tcPr>
            <w:tcW w:w="1782" w:type="dxa"/>
          </w:tcPr>
          <w:p w14:paraId="6D78402F" w14:textId="69F7EE41" w:rsidR="005E2342" w:rsidRDefault="008B7721">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Defendant</w:t>
            </w:r>
          </w:p>
        </w:tc>
      </w:tr>
    </w:tbl>
    <w:p w14:paraId="5FF6067B" w14:textId="77777777" w:rsidR="005E2342" w:rsidRDefault="005E2342">
      <w:pPr>
        <w:suppressAutoHyphens/>
        <w:rPr>
          <w:b/>
          <w:spacing w:val="-3"/>
        </w:rPr>
      </w:pPr>
    </w:p>
    <w:p w14:paraId="7C638B59" w14:textId="77777777" w:rsidR="005E2342" w:rsidRDefault="005E2342">
      <w:pPr>
        <w:suppressAutoHyphens/>
        <w:jc w:val="center"/>
        <w:rPr>
          <w:spacing w:val="-3"/>
        </w:rPr>
      </w:pPr>
      <w:r>
        <w:rPr>
          <w:spacing w:val="-3"/>
        </w:rPr>
        <w:t>- - - - - - - - - - - - - - - - - - - - -</w:t>
      </w:r>
    </w:p>
    <w:p w14:paraId="11E5E067" w14:textId="77777777" w:rsidR="005E2342" w:rsidRDefault="005E2342">
      <w:pPr>
        <w:suppressAutoHyphens/>
        <w:jc w:val="center"/>
        <w:rPr>
          <w:spacing w:val="-3"/>
        </w:rPr>
      </w:pPr>
      <w:r>
        <w:rPr>
          <w:spacing w:val="-3"/>
        </w:rPr>
        <w:t>- - - - - - - - - - - - - - - - - - - - -</w:t>
      </w:r>
    </w:p>
    <w:p w14:paraId="3ADE87B1" w14:textId="77777777" w:rsidR="005E2342" w:rsidRDefault="005E2342">
      <w:pPr>
        <w:suppressAutoHyphens/>
        <w:jc w:val="center"/>
        <w:rPr>
          <w:spacing w:val="-3"/>
        </w:rPr>
      </w:pPr>
    </w:p>
    <w:p w14:paraId="06085497" w14:textId="6D9C24AE" w:rsidR="005E2342" w:rsidRDefault="00CF5343">
      <w:pPr>
        <w:suppressAutoHyphens/>
        <w:jc w:val="center"/>
        <w:rPr>
          <w:b/>
          <w:spacing w:val="-3"/>
        </w:rPr>
      </w:pPr>
      <w:r>
        <w:rPr>
          <w:b/>
          <w:spacing w:val="-3"/>
        </w:rPr>
        <w:t xml:space="preserve">Mr </w:t>
      </w:r>
      <w:r w:rsidR="004A16E8">
        <w:rPr>
          <w:b/>
          <w:spacing w:val="-3"/>
        </w:rPr>
        <w:t>Andrew Lomas</w:t>
      </w:r>
      <w:r w:rsidR="008B7721">
        <w:rPr>
          <w:b/>
          <w:spacing w:val="-3"/>
        </w:rPr>
        <w:t xml:space="preserve"> </w:t>
      </w:r>
      <w:r w:rsidR="00263D3F" w:rsidRPr="00263D3F">
        <w:rPr>
          <w:spacing w:val="-3"/>
        </w:rPr>
        <w:t xml:space="preserve">(instructed by </w:t>
      </w:r>
      <w:r w:rsidR="004A16E8">
        <w:rPr>
          <w:b/>
          <w:spacing w:val="-3"/>
        </w:rPr>
        <w:t>Michael Markham, Solicitor</w:t>
      </w:r>
      <w:r w:rsidR="00263D3F" w:rsidRPr="00263D3F">
        <w:rPr>
          <w:spacing w:val="-3"/>
        </w:rPr>
        <w:t>)</w:t>
      </w:r>
      <w:r w:rsidR="005C3EFF">
        <w:rPr>
          <w:b/>
          <w:spacing w:val="-3"/>
        </w:rPr>
        <w:t xml:space="preserve"> </w:t>
      </w:r>
      <w:r w:rsidR="005E2342">
        <w:rPr>
          <w:bCs/>
          <w:spacing w:val="-3"/>
        </w:rPr>
        <w:t>for the</w:t>
      </w:r>
      <w:r w:rsidR="005E2342">
        <w:rPr>
          <w:spacing w:val="-3"/>
        </w:rPr>
        <w:t xml:space="preserve"> </w:t>
      </w:r>
      <w:r w:rsidR="00050487">
        <w:rPr>
          <w:b/>
          <w:bCs/>
          <w:spacing w:val="-3"/>
        </w:rPr>
        <w:t>Claimant</w:t>
      </w:r>
    </w:p>
    <w:p w14:paraId="08A1DCAE" w14:textId="5C69B48D" w:rsidR="005E2342" w:rsidRDefault="004A16E8" w:rsidP="0017288E">
      <w:pPr>
        <w:suppressAutoHyphens/>
        <w:jc w:val="center"/>
        <w:rPr>
          <w:spacing w:val="-3"/>
        </w:rPr>
      </w:pPr>
      <w:r>
        <w:rPr>
          <w:b/>
          <w:spacing w:val="-3"/>
        </w:rPr>
        <w:t>Mr Ben Longstaff</w:t>
      </w:r>
      <w:r w:rsidR="00CF5343">
        <w:rPr>
          <w:b/>
          <w:spacing w:val="-3"/>
        </w:rPr>
        <w:t xml:space="preserve"> </w:t>
      </w:r>
      <w:r w:rsidR="00263D3F">
        <w:rPr>
          <w:spacing w:val="-3"/>
        </w:rPr>
        <w:t xml:space="preserve">(instructed by </w:t>
      </w:r>
      <w:r>
        <w:rPr>
          <w:b/>
          <w:spacing w:val="-3"/>
        </w:rPr>
        <w:t>Asserson Law Offices</w:t>
      </w:r>
      <w:r w:rsidR="00263D3F">
        <w:rPr>
          <w:spacing w:val="-3"/>
        </w:rPr>
        <w:t xml:space="preserve">) for the </w:t>
      </w:r>
      <w:r w:rsidR="00263D3F" w:rsidRPr="00263D3F">
        <w:rPr>
          <w:b/>
          <w:spacing w:val="-3"/>
        </w:rPr>
        <w:t>Defendant</w:t>
      </w:r>
    </w:p>
    <w:p w14:paraId="39463901" w14:textId="77777777" w:rsidR="00263D3F" w:rsidRPr="0017288E" w:rsidRDefault="00263D3F" w:rsidP="0017288E">
      <w:pPr>
        <w:suppressAutoHyphens/>
        <w:jc w:val="center"/>
        <w:rPr>
          <w:bCs/>
          <w:spacing w:val="-3"/>
        </w:rPr>
      </w:pPr>
    </w:p>
    <w:p w14:paraId="449BBF0D" w14:textId="2FC94A0B" w:rsidR="005E2342" w:rsidRDefault="008B7721">
      <w:pPr>
        <w:suppressAutoHyphens/>
        <w:jc w:val="center"/>
        <w:rPr>
          <w:spacing w:val="-3"/>
        </w:rPr>
      </w:pPr>
      <w:r>
        <w:rPr>
          <w:spacing w:val="-3"/>
        </w:rPr>
        <w:t>Hearing date</w:t>
      </w:r>
      <w:r w:rsidR="00CF5343">
        <w:rPr>
          <w:spacing w:val="-3"/>
        </w:rPr>
        <w:t>s</w:t>
      </w:r>
      <w:r w:rsidR="005E2342">
        <w:rPr>
          <w:spacing w:val="-3"/>
        </w:rPr>
        <w:t xml:space="preserve">: </w:t>
      </w:r>
      <w:r w:rsidR="004A16E8">
        <w:rPr>
          <w:spacing w:val="-3"/>
        </w:rPr>
        <w:t>16 and 17</w:t>
      </w:r>
      <w:r w:rsidR="00CF5343">
        <w:rPr>
          <w:spacing w:val="-3"/>
        </w:rPr>
        <w:t xml:space="preserve"> </w:t>
      </w:r>
      <w:r w:rsidR="004A16E8">
        <w:rPr>
          <w:spacing w:val="-3"/>
        </w:rPr>
        <w:t>July</w:t>
      </w:r>
      <w:r w:rsidR="00CF5343">
        <w:rPr>
          <w:spacing w:val="-3"/>
        </w:rPr>
        <w:t xml:space="preserve"> 2019</w:t>
      </w:r>
      <w:r w:rsidR="008C273B">
        <w:rPr>
          <w:spacing w:val="-3"/>
        </w:rPr>
        <w:t xml:space="preserve"> </w:t>
      </w:r>
    </w:p>
    <w:p w14:paraId="25FD2646" w14:textId="77777777" w:rsidR="005E2342" w:rsidRDefault="005E2342">
      <w:pPr>
        <w:suppressAutoHyphens/>
        <w:jc w:val="center"/>
        <w:rPr>
          <w:spacing w:val="-3"/>
        </w:rPr>
      </w:pPr>
      <w:r>
        <w:rPr>
          <w:spacing w:val="-3"/>
        </w:rPr>
        <w:t>- - - - - - - - - - - - - - - - - - - - -</w:t>
      </w:r>
    </w:p>
    <w:p w14:paraId="7BB20904" w14:textId="4C24E89B" w:rsidR="005E2342" w:rsidRDefault="009E4653">
      <w:pPr>
        <w:pStyle w:val="CoverDesc"/>
      </w:pPr>
      <w:r>
        <w:t xml:space="preserve">APPROVED </w:t>
      </w:r>
      <w:r w:rsidR="005E2342">
        <w:t>JUDGMENT</w:t>
      </w:r>
    </w:p>
    <w:p w14:paraId="7810EA7E" w14:textId="77777777" w:rsidR="005E2342" w:rsidRDefault="005E2342">
      <w:pPr>
        <w:pStyle w:val="CoverDesc"/>
        <w:rPr>
          <w:sz w:val="24"/>
        </w:rPr>
      </w:pPr>
    </w:p>
    <w:p w14:paraId="0645A174" w14:textId="77777777" w:rsidR="005E2342" w:rsidRDefault="005E2342"/>
    <w:p w14:paraId="384F9EAE" w14:textId="77777777" w:rsidR="005E2342" w:rsidRDefault="005E2342">
      <w:pPr>
        <w:sectPr w:rsidR="005E2342">
          <w:footerReference w:type="default" r:id="rId12"/>
          <w:pgSz w:w="11909" w:h="16834" w:code="9"/>
          <w:pgMar w:top="720" w:right="1440" w:bottom="720" w:left="1440" w:header="720" w:footer="720" w:gutter="0"/>
          <w:pgNumType w:start="1"/>
          <w:cols w:space="720"/>
        </w:sectPr>
      </w:pPr>
    </w:p>
    <w:p w14:paraId="6187543F" w14:textId="77777777" w:rsidR="005E2342" w:rsidRPr="00DD2453" w:rsidRDefault="000B0E4A" w:rsidP="00F40C30">
      <w:pPr>
        <w:spacing w:after="240" w:line="360" w:lineRule="auto"/>
        <w:rPr>
          <w:rFonts w:ascii="Book Antiqua" w:hAnsi="Book Antiqua"/>
        </w:rPr>
      </w:pPr>
      <w:r w:rsidRPr="00DD2453">
        <w:rPr>
          <w:rFonts w:ascii="Book Antiqua" w:hAnsi="Book Antiqua"/>
          <w:b/>
        </w:rPr>
        <w:lastRenderedPageBreak/>
        <w:t>Her Honour Judge</w:t>
      </w:r>
      <w:r w:rsidR="008B7721" w:rsidRPr="00DD2453">
        <w:rPr>
          <w:rFonts w:ascii="Book Antiqua" w:hAnsi="Book Antiqua"/>
          <w:b/>
        </w:rPr>
        <w:t xml:space="preserve"> Melissa Clarke</w:t>
      </w:r>
      <w:r w:rsidR="005E2342" w:rsidRPr="00DD2453">
        <w:rPr>
          <w:rFonts w:ascii="Book Antiqua" w:hAnsi="Book Antiqua"/>
          <w:b/>
        </w:rPr>
        <w:t>:</w:t>
      </w:r>
      <w:r w:rsidR="005E2342" w:rsidRPr="00DD2453">
        <w:rPr>
          <w:rFonts w:ascii="Book Antiqua" w:hAnsi="Book Antiqua"/>
        </w:rPr>
        <w:t xml:space="preserve"> </w:t>
      </w:r>
    </w:p>
    <w:p w14:paraId="1FB7E954" w14:textId="77777777" w:rsidR="005E2342" w:rsidRPr="00DD2453" w:rsidRDefault="005E2342" w:rsidP="00F40C30">
      <w:pPr>
        <w:pStyle w:val="ParaHeading"/>
        <w:spacing w:line="360" w:lineRule="auto"/>
        <w:rPr>
          <w:rFonts w:ascii="Book Antiqua" w:hAnsi="Book Antiqua"/>
        </w:rPr>
        <w:sectPr w:rsidR="005E2342" w:rsidRPr="00DD2453">
          <w:headerReference w:type="default" r:id="rId13"/>
          <w:footerReference w:type="default" r:id="rId14"/>
          <w:pgSz w:w="11909" w:h="16834" w:code="9"/>
          <w:pgMar w:top="1440" w:right="1440" w:bottom="1440" w:left="1440" w:header="709" w:footer="709" w:gutter="0"/>
          <w:cols w:space="720"/>
          <w:formProt w:val="0"/>
        </w:sectPr>
      </w:pPr>
    </w:p>
    <w:p w14:paraId="6D7EF954" w14:textId="77777777" w:rsidR="00A0141C" w:rsidRPr="00DD2453" w:rsidRDefault="00A0141C" w:rsidP="009E4653">
      <w:pPr>
        <w:pStyle w:val="ParaLevel1"/>
        <w:numPr>
          <w:ilvl w:val="0"/>
          <w:numId w:val="0"/>
        </w:numPr>
        <w:ind w:left="720" w:hanging="720"/>
        <w:rPr>
          <w:rFonts w:ascii="Book Antiqua" w:hAnsi="Book Antiqua"/>
          <w:b/>
        </w:rPr>
      </w:pPr>
      <w:r w:rsidRPr="00DD2453">
        <w:rPr>
          <w:rFonts w:ascii="Book Antiqua" w:hAnsi="Book Antiqua"/>
          <w:b/>
        </w:rPr>
        <w:lastRenderedPageBreak/>
        <w:t>INTRODUCTION</w:t>
      </w:r>
    </w:p>
    <w:p w14:paraId="2FE8DE8F" w14:textId="7EB427AE" w:rsidR="00647FCF" w:rsidRPr="00DA04EE" w:rsidRDefault="00647FCF" w:rsidP="009E4653">
      <w:pPr>
        <w:pStyle w:val="ParaLevel1"/>
        <w:rPr>
          <w:rFonts w:ascii="Book Antiqua" w:hAnsi="Book Antiqua"/>
        </w:rPr>
      </w:pPr>
      <w:r w:rsidRPr="00DA04EE">
        <w:rPr>
          <w:rFonts w:ascii="Book Antiqua" w:hAnsi="Book Antiqua"/>
        </w:rPr>
        <w:t>This</w:t>
      </w:r>
      <w:r w:rsidR="004A16E8" w:rsidRPr="00DA04EE">
        <w:rPr>
          <w:rFonts w:ascii="Book Antiqua" w:hAnsi="Book Antiqua"/>
        </w:rPr>
        <w:t xml:space="preserve"> dispute </w:t>
      </w:r>
      <w:r w:rsidRPr="00DA04EE">
        <w:rPr>
          <w:rFonts w:ascii="Book Antiqua" w:hAnsi="Book Antiqua"/>
        </w:rPr>
        <w:t xml:space="preserve">relates to a </w:t>
      </w:r>
      <w:r w:rsidR="0039750A">
        <w:rPr>
          <w:rFonts w:ascii="Book Antiqua" w:hAnsi="Book Antiqua"/>
        </w:rPr>
        <w:t xml:space="preserve">carrier for </w:t>
      </w:r>
      <w:r w:rsidRPr="00DA04EE">
        <w:rPr>
          <w:rFonts w:ascii="Book Antiqua" w:hAnsi="Book Antiqua"/>
        </w:rPr>
        <w:t xml:space="preserve">machine-gun ammunition. </w:t>
      </w:r>
    </w:p>
    <w:p w14:paraId="529238DD" w14:textId="71D99193" w:rsidR="007B0919" w:rsidRPr="00DA04EE" w:rsidRDefault="00647FCF" w:rsidP="009E4653">
      <w:pPr>
        <w:pStyle w:val="ParaLevel1"/>
        <w:rPr>
          <w:rFonts w:ascii="Book Antiqua" w:hAnsi="Book Antiqua"/>
        </w:rPr>
      </w:pPr>
      <w:r w:rsidRPr="00DA04EE">
        <w:rPr>
          <w:rFonts w:ascii="Book Antiqua" w:hAnsi="Book Antiqua"/>
        </w:rPr>
        <w:t>Both parties are manufacturers of military equipment. The Claimant</w:t>
      </w:r>
      <w:r w:rsidR="00FF08C4" w:rsidRPr="00DA04EE">
        <w:rPr>
          <w:rFonts w:ascii="Book Antiqua" w:hAnsi="Book Antiqua"/>
        </w:rPr>
        <w:t xml:space="preserve"> (“</w:t>
      </w:r>
      <w:r w:rsidR="00FF08C4" w:rsidRPr="00DA04EE">
        <w:rPr>
          <w:rFonts w:ascii="Book Antiqua" w:hAnsi="Book Antiqua"/>
          <w:b/>
        </w:rPr>
        <w:t>Excel</w:t>
      </w:r>
      <w:r w:rsidR="00FF08C4" w:rsidRPr="00DA04EE">
        <w:rPr>
          <w:rFonts w:ascii="Book Antiqua" w:hAnsi="Book Antiqua"/>
        </w:rPr>
        <w:t xml:space="preserve">”) </w:t>
      </w:r>
      <w:r w:rsidR="00EF5D55" w:rsidRPr="00DA04EE">
        <w:rPr>
          <w:rFonts w:ascii="Book Antiqua" w:hAnsi="Book Antiqua"/>
        </w:rPr>
        <w:t>holds</w:t>
      </w:r>
      <w:r w:rsidRPr="00DA04EE">
        <w:rPr>
          <w:rFonts w:ascii="Book Antiqua" w:hAnsi="Book Antiqua"/>
        </w:rPr>
        <w:t xml:space="preserve"> UK Patent </w:t>
      </w:r>
      <w:r w:rsidR="006C6558" w:rsidRPr="00DA04EE">
        <w:rPr>
          <w:rFonts w:ascii="Book Antiqua" w:hAnsi="Book Antiqua"/>
        </w:rPr>
        <w:t>Number GB2489</w:t>
      </w:r>
      <w:r w:rsidR="001C475D" w:rsidRPr="00DA04EE">
        <w:rPr>
          <w:rFonts w:ascii="Book Antiqua" w:hAnsi="Book Antiqua"/>
        </w:rPr>
        <w:t>116 for</w:t>
      </w:r>
      <w:r w:rsidR="008A2BFA">
        <w:rPr>
          <w:rFonts w:ascii="Book Antiqua" w:hAnsi="Book Antiqua"/>
        </w:rPr>
        <w:t xml:space="preserve"> an amm</w:t>
      </w:r>
      <w:r w:rsidRPr="00DA04EE">
        <w:rPr>
          <w:rFonts w:ascii="Book Antiqua" w:hAnsi="Book Antiqua"/>
        </w:rPr>
        <w:t>unition bag named the “</w:t>
      </w:r>
      <w:r w:rsidRPr="00DA04EE">
        <w:rPr>
          <w:rFonts w:ascii="Book Antiqua" w:hAnsi="Book Antiqua"/>
          <w:b/>
        </w:rPr>
        <w:t>Link-Tail</w:t>
      </w:r>
      <w:r w:rsidRPr="00DA04EE">
        <w:rPr>
          <w:rFonts w:ascii="Book Antiqua" w:hAnsi="Book Antiqua"/>
        </w:rPr>
        <w:t>”</w:t>
      </w:r>
      <w:r w:rsidR="006C6558" w:rsidRPr="00DA04EE">
        <w:rPr>
          <w:rFonts w:ascii="Book Antiqua" w:hAnsi="Book Antiqua"/>
        </w:rPr>
        <w:t xml:space="preserve">, </w:t>
      </w:r>
      <w:r w:rsidR="00047DAD" w:rsidRPr="00DA04EE">
        <w:rPr>
          <w:rFonts w:ascii="Book Antiqua" w:hAnsi="Book Antiqua"/>
        </w:rPr>
        <w:t>granted on 1 March 2017</w:t>
      </w:r>
      <w:r w:rsidR="00DD7AE2" w:rsidRPr="00DA04EE">
        <w:rPr>
          <w:rFonts w:ascii="Book Antiqua" w:hAnsi="Book Antiqua"/>
        </w:rPr>
        <w:t xml:space="preserve"> (“</w:t>
      </w:r>
      <w:r w:rsidR="00DD7AE2" w:rsidRPr="00DA04EE">
        <w:rPr>
          <w:rFonts w:ascii="Book Antiqua" w:hAnsi="Book Antiqua"/>
          <w:b/>
        </w:rPr>
        <w:t>GB’</w:t>
      </w:r>
      <w:r w:rsidR="001C475D" w:rsidRPr="00DA04EE">
        <w:rPr>
          <w:rFonts w:ascii="Book Antiqua" w:hAnsi="Book Antiqua"/>
          <w:b/>
        </w:rPr>
        <w:t>116</w:t>
      </w:r>
      <w:r w:rsidR="00DD7AE2" w:rsidRPr="00DA04EE">
        <w:rPr>
          <w:rFonts w:ascii="Book Antiqua" w:hAnsi="Book Antiqua"/>
        </w:rPr>
        <w:t>”)</w:t>
      </w:r>
      <w:r w:rsidRPr="00DA04EE">
        <w:rPr>
          <w:rFonts w:ascii="Book Antiqua" w:hAnsi="Book Antiqua"/>
        </w:rPr>
        <w:t xml:space="preserve">. </w:t>
      </w:r>
      <w:r w:rsidR="00DD7AE2" w:rsidRPr="00DA04EE">
        <w:rPr>
          <w:rFonts w:ascii="Book Antiqua" w:hAnsi="Book Antiqua"/>
        </w:rPr>
        <w:t>The Link-Tail</w:t>
      </w:r>
      <w:r w:rsidRPr="00DA04EE">
        <w:rPr>
          <w:rFonts w:ascii="Book Antiqua" w:hAnsi="Book Antiqua"/>
        </w:rPr>
        <w:t xml:space="preserve"> is designed for holding </w:t>
      </w:r>
      <w:r w:rsidR="008A2BFA">
        <w:rPr>
          <w:rFonts w:ascii="Book Antiqua" w:hAnsi="Book Antiqua"/>
        </w:rPr>
        <w:t xml:space="preserve">linked rounds of </w:t>
      </w:r>
      <w:r w:rsidRPr="00DA04EE">
        <w:rPr>
          <w:rFonts w:ascii="Book Antiqua" w:hAnsi="Book Antiqua"/>
        </w:rPr>
        <w:t>ammunition in the form of bullets mounted onto a long piece of webbing or similar material</w:t>
      </w:r>
      <w:r w:rsidR="006C6558" w:rsidRPr="00DA04EE">
        <w:rPr>
          <w:rFonts w:ascii="Book Antiqua" w:hAnsi="Book Antiqua"/>
        </w:rPr>
        <w:t>,</w:t>
      </w:r>
      <w:r w:rsidRPr="00DA04EE">
        <w:rPr>
          <w:rFonts w:ascii="Book Antiqua" w:hAnsi="Book Antiqua"/>
        </w:rPr>
        <w:t xml:space="preserve"> such as to allow them to be fed easily into a </w:t>
      </w:r>
      <w:r w:rsidR="006C6558" w:rsidRPr="00DA04EE">
        <w:rPr>
          <w:rFonts w:ascii="Book Antiqua" w:hAnsi="Book Antiqua"/>
        </w:rPr>
        <w:t xml:space="preserve">machine </w:t>
      </w:r>
      <w:r w:rsidRPr="00DA04EE">
        <w:rPr>
          <w:rFonts w:ascii="Book Antiqua" w:hAnsi="Book Antiqua"/>
        </w:rPr>
        <w:t xml:space="preserve">gun. </w:t>
      </w:r>
    </w:p>
    <w:p w14:paraId="39ABF8B4" w14:textId="57D5DBC0" w:rsidR="00B26EBB" w:rsidRPr="00DA04EE" w:rsidRDefault="009B5EC8" w:rsidP="009E4653">
      <w:pPr>
        <w:pStyle w:val="ParaLevel1"/>
        <w:rPr>
          <w:rFonts w:ascii="Book Antiqua" w:hAnsi="Book Antiqua"/>
        </w:rPr>
      </w:pPr>
      <w:r w:rsidRPr="00DA04EE">
        <w:rPr>
          <w:rFonts w:ascii="Book Antiqua" w:hAnsi="Book Antiqua"/>
        </w:rPr>
        <w:t>Below is a photograph of the Link-Tail in use</w:t>
      </w:r>
      <w:r w:rsidR="00DA04EE">
        <w:rPr>
          <w:rFonts w:ascii="Book Antiqua" w:hAnsi="Book Antiqua"/>
        </w:rPr>
        <w:t xml:space="preserve"> (laid on the ground)</w:t>
      </w:r>
      <w:r w:rsidR="00E6788C" w:rsidRPr="00DA04EE">
        <w:rPr>
          <w:rFonts w:ascii="Book Antiqua" w:hAnsi="Book Antiqua"/>
        </w:rPr>
        <w:t xml:space="preserve">, from which can be seen </w:t>
      </w:r>
      <w:r w:rsidR="00B26EBB" w:rsidRPr="00DA04EE">
        <w:rPr>
          <w:rFonts w:ascii="Book Antiqua" w:hAnsi="Book Antiqua"/>
        </w:rPr>
        <w:t>the linked ammunition being fed straight from the bag into the gun, with the webbing-side up</w:t>
      </w:r>
      <w:r w:rsidR="00E6788C" w:rsidRPr="00DA04EE">
        <w:rPr>
          <w:rFonts w:ascii="Book Antiqua" w:hAnsi="Book Antiqua"/>
        </w:rPr>
        <w:t xml:space="preserve"> (Image 1)</w:t>
      </w:r>
      <w:r w:rsidR="00B26EBB" w:rsidRPr="00DA04EE">
        <w:rPr>
          <w:rFonts w:ascii="Book Antiqua" w:hAnsi="Book Antiqua"/>
        </w:rPr>
        <w:t xml:space="preserve">: </w:t>
      </w:r>
    </w:p>
    <w:p w14:paraId="2927FAA8" w14:textId="31AC4D2E" w:rsidR="00B26EBB" w:rsidRPr="00DA04EE" w:rsidRDefault="00B26EBB" w:rsidP="009E4653">
      <w:pPr>
        <w:pStyle w:val="ParaLevel1"/>
        <w:numPr>
          <w:ilvl w:val="0"/>
          <w:numId w:val="0"/>
        </w:numPr>
        <w:ind w:left="862"/>
        <w:rPr>
          <w:rFonts w:ascii="Book Antiqua" w:hAnsi="Book Antiqua"/>
        </w:rPr>
      </w:pPr>
      <w:r w:rsidRPr="00DA04EE">
        <w:rPr>
          <w:rFonts w:ascii="Book Antiqua" w:hAnsi="Book Antiqua"/>
          <w:noProof/>
          <w:lang w:val="nl-NL" w:eastAsia="nl-NL"/>
        </w:rPr>
        <w:drawing>
          <wp:inline distT="0" distB="0" distL="0" distR="0" wp14:anchorId="6A4A3CF8" wp14:editId="7427FC7D">
            <wp:extent cx="4593167" cy="2574844"/>
            <wp:effectExtent l="0" t="0" r="444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594636" cy="2575668"/>
                    </a:xfrm>
                    <a:prstGeom prst="rect">
                      <a:avLst/>
                    </a:prstGeom>
                    <a:noFill/>
                    <a:ln>
                      <a:noFill/>
                    </a:ln>
                  </pic:spPr>
                </pic:pic>
              </a:graphicData>
            </a:graphic>
          </wp:inline>
        </w:drawing>
      </w:r>
    </w:p>
    <w:p w14:paraId="3C08B073" w14:textId="66EB0367" w:rsidR="00E6788C" w:rsidRPr="00DA04EE" w:rsidRDefault="00E6788C" w:rsidP="009E4653">
      <w:pPr>
        <w:pStyle w:val="ParaLevel1"/>
        <w:rPr>
          <w:rFonts w:ascii="Book Antiqua" w:hAnsi="Book Antiqua"/>
        </w:rPr>
      </w:pPr>
      <w:r w:rsidRPr="00DA04EE">
        <w:rPr>
          <w:rFonts w:ascii="Book Antiqua" w:hAnsi="Book Antiqua"/>
        </w:rPr>
        <w:t>Excel entered into a patent licence agreement with the Defendant (“</w:t>
      </w:r>
      <w:r w:rsidRPr="00DA04EE">
        <w:rPr>
          <w:rFonts w:ascii="Book Antiqua" w:hAnsi="Book Antiqua"/>
          <w:b/>
        </w:rPr>
        <w:t>Source</w:t>
      </w:r>
      <w:r w:rsidRPr="00DA04EE">
        <w:rPr>
          <w:rFonts w:ascii="Book Antiqua" w:hAnsi="Book Antiqua"/>
        </w:rPr>
        <w:t>”) on 12 February 2015 in respect of the Link-Tail (“</w:t>
      </w:r>
      <w:r w:rsidRPr="00DA04EE">
        <w:rPr>
          <w:rFonts w:ascii="Book Antiqua" w:hAnsi="Book Antiqua"/>
          <w:b/>
        </w:rPr>
        <w:t>Licence Agreement</w:t>
      </w:r>
      <w:r w:rsidRPr="00DA04EE">
        <w:rPr>
          <w:rFonts w:ascii="Book Antiqua" w:hAnsi="Book Antiqua"/>
        </w:rPr>
        <w:t xml:space="preserve">”). </w:t>
      </w:r>
      <w:r w:rsidR="0039750A">
        <w:rPr>
          <w:rFonts w:ascii="Book Antiqua" w:hAnsi="Book Antiqua"/>
        </w:rPr>
        <w:t>Pursuant to the Licence Agreement,</w:t>
      </w:r>
      <w:r w:rsidR="0039750A" w:rsidRPr="0039750A">
        <w:rPr>
          <w:rFonts w:ascii="Book Antiqua" w:hAnsi="Book Antiqua"/>
        </w:rPr>
        <w:t xml:space="preserve"> </w:t>
      </w:r>
      <w:r w:rsidR="0039750A">
        <w:rPr>
          <w:rFonts w:ascii="Book Antiqua" w:hAnsi="Book Antiqua"/>
        </w:rPr>
        <w:t xml:space="preserve">and </w:t>
      </w:r>
      <w:r w:rsidR="0039750A" w:rsidRPr="00DA04EE">
        <w:rPr>
          <w:rFonts w:ascii="Book Antiqua" w:hAnsi="Book Antiqua"/>
        </w:rPr>
        <w:t>up to around the end of 2016</w:t>
      </w:r>
      <w:r w:rsidR="0039750A">
        <w:rPr>
          <w:rFonts w:ascii="Book Antiqua" w:hAnsi="Book Antiqua"/>
        </w:rPr>
        <w:t xml:space="preserve">, </w:t>
      </w:r>
      <w:r w:rsidRPr="00DA04EE">
        <w:rPr>
          <w:rFonts w:ascii="Book Antiqua" w:hAnsi="Book Antiqua"/>
        </w:rPr>
        <w:t xml:space="preserve">Source manufactured and supplied </w:t>
      </w:r>
      <w:r w:rsidR="004179D7">
        <w:rPr>
          <w:rFonts w:ascii="Book Antiqua" w:hAnsi="Book Antiqua"/>
        </w:rPr>
        <w:t xml:space="preserve">a slightly amended version of the Link-Tail </w:t>
      </w:r>
      <w:r w:rsidR="00AC298E">
        <w:rPr>
          <w:rFonts w:ascii="Book Antiqua" w:hAnsi="Book Antiqua"/>
        </w:rPr>
        <w:t>(the “</w:t>
      </w:r>
      <w:r w:rsidR="00AC298E" w:rsidRPr="00AC298E">
        <w:rPr>
          <w:rFonts w:ascii="Book Antiqua" w:hAnsi="Book Antiqua"/>
          <w:b/>
        </w:rPr>
        <w:t>Source Ammunition Bag</w:t>
      </w:r>
      <w:r w:rsidR="00AC298E">
        <w:rPr>
          <w:rFonts w:ascii="Book Antiqua" w:hAnsi="Book Antiqua"/>
        </w:rPr>
        <w:t xml:space="preserve">”) </w:t>
      </w:r>
      <w:r w:rsidRPr="00DA04EE">
        <w:rPr>
          <w:rFonts w:ascii="Book Antiqua" w:hAnsi="Book Antiqua"/>
        </w:rPr>
        <w:t>to the UK Ministry of Defence (“</w:t>
      </w:r>
      <w:r w:rsidRPr="00DA04EE">
        <w:rPr>
          <w:rFonts w:ascii="Book Antiqua" w:hAnsi="Book Antiqua"/>
          <w:b/>
        </w:rPr>
        <w:t>MoD</w:t>
      </w:r>
      <w:r w:rsidRPr="00DA04EE">
        <w:rPr>
          <w:rFonts w:ascii="Book Antiqua" w:hAnsi="Book Antiqua"/>
        </w:rPr>
        <w:t>”) as part of a large-scale procurement exercise known as Project Virtus (“</w:t>
      </w:r>
      <w:r w:rsidRPr="00DA04EE">
        <w:rPr>
          <w:rFonts w:ascii="Book Antiqua" w:hAnsi="Book Antiqua"/>
          <w:b/>
        </w:rPr>
        <w:t>Virtus</w:t>
      </w:r>
      <w:r w:rsidR="0039750A">
        <w:rPr>
          <w:rFonts w:ascii="Book Antiqua" w:hAnsi="Book Antiqua"/>
        </w:rPr>
        <w:t>”), and paid Excel a fixed royalty per unit sold on all such sales. It</w:t>
      </w:r>
      <w:r w:rsidRPr="00DA04EE">
        <w:rPr>
          <w:rFonts w:ascii="Book Antiqua" w:hAnsi="Book Antiqua"/>
        </w:rPr>
        <w:t xml:space="preserve"> is not disputed that Excel cannot supply into Virtus directly. It </w:t>
      </w:r>
      <w:r w:rsidR="00DA04EE">
        <w:rPr>
          <w:rFonts w:ascii="Book Antiqua" w:hAnsi="Book Antiqua"/>
        </w:rPr>
        <w:t>can only do so through the MoD p</w:t>
      </w:r>
      <w:r w:rsidRPr="00DA04EE">
        <w:rPr>
          <w:rFonts w:ascii="Book Antiqua" w:hAnsi="Book Antiqua"/>
        </w:rPr>
        <w:t>rime contractor for Virtus</w:t>
      </w:r>
      <w:r w:rsidR="0039750A">
        <w:rPr>
          <w:rFonts w:ascii="Book Antiqua" w:hAnsi="Book Antiqua"/>
        </w:rPr>
        <w:t>, which is</w:t>
      </w:r>
      <w:r w:rsidRPr="00DA04EE">
        <w:rPr>
          <w:rFonts w:ascii="Book Antiqua" w:hAnsi="Book Antiqua"/>
        </w:rPr>
        <w:t xml:space="preserve"> Source. </w:t>
      </w:r>
      <w:r w:rsidR="00C3513F">
        <w:rPr>
          <w:rFonts w:ascii="Book Antiqua" w:hAnsi="Book Antiqua"/>
        </w:rPr>
        <w:t>The Licence Agreement contains no positive obligation on Source to supply the bags</w:t>
      </w:r>
      <w:r w:rsidR="0039750A">
        <w:rPr>
          <w:rFonts w:ascii="Book Antiqua" w:hAnsi="Book Antiqua"/>
        </w:rPr>
        <w:t xml:space="preserve"> to the MoD,</w:t>
      </w:r>
      <w:r w:rsidR="00C3513F">
        <w:rPr>
          <w:rFonts w:ascii="Book Antiqua" w:hAnsi="Book Antiqua"/>
        </w:rPr>
        <w:t xml:space="preserve"> </w:t>
      </w:r>
      <w:r w:rsidR="0039750A">
        <w:rPr>
          <w:rFonts w:ascii="Book Antiqua" w:hAnsi="Book Antiqua"/>
        </w:rPr>
        <w:t>nor to pay Excel any minimum sum in royalties, n</w:t>
      </w:r>
      <w:r w:rsidR="00C3513F">
        <w:rPr>
          <w:rFonts w:ascii="Book Antiqua" w:hAnsi="Book Antiqua"/>
        </w:rPr>
        <w:t xml:space="preserve">or </w:t>
      </w:r>
      <w:r w:rsidR="0039750A">
        <w:rPr>
          <w:rFonts w:ascii="Book Antiqua" w:hAnsi="Book Antiqua"/>
        </w:rPr>
        <w:t xml:space="preserve">does it provide </w:t>
      </w:r>
      <w:r w:rsidR="00C3513F">
        <w:rPr>
          <w:rFonts w:ascii="Book Antiqua" w:hAnsi="Book Antiqua"/>
        </w:rPr>
        <w:t xml:space="preserve">any </w:t>
      </w:r>
      <w:r w:rsidR="0039750A">
        <w:rPr>
          <w:rFonts w:ascii="Book Antiqua" w:hAnsi="Book Antiqua"/>
        </w:rPr>
        <w:t xml:space="preserve">guarantee of </w:t>
      </w:r>
      <w:r w:rsidR="00C3513F">
        <w:rPr>
          <w:rFonts w:ascii="Book Antiqua" w:hAnsi="Book Antiqua"/>
        </w:rPr>
        <w:t xml:space="preserve">minimum </w:t>
      </w:r>
      <w:r w:rsidR="0039750A">
        <w:rPr>
          <w:rFonts w:ascii="Book Antiqua" w:hAnsi="Book Antiqua"/>
        </w:rPr>
        <w:t>sales</w:t>
      </w:r>
      <w:r w:rsidR="00C3513F">
        <w:rPr>
          <w:rFonts w:ascii="Book Antiqua" w:hAnsi="Book Antiqua"/>
        </w:rPr>
        <w:t>.</w:t>
      </w:r>
    </w:p>
    <w:p w14:paraId="3465FD86" w14:textId="6BEE2718" w:rsidR="00E6788C" w:rsidRPr="00DA04EE" w:rsidRDefault="0039750A" w:rsidP="009E4653">
      <w:pPr>
        <w:pStyle w:val="ParaLevel1"/>
        <w:rPr>
          <w:rFonts w:ascii="Book Antiqua" w:hAnsi="Book Antiqua"/>
        </w:rPr>
      </w:pPr>
      <w:r>
        <w:rPr>
          <w:rFonts w:ascii="Book Antiqua" w:hAnsi="Book Antiqua"/>
        </w:rPr>
        <w:t xml:space="preserve">In February 2014 </w:t>
      </w:r>
      <w:r w:rsidR="00E6788C" w:rsidRPr="00DA04EE">
        <w:rPr>
          <w:rFonts w:ascii="Book Antiqua" w:hAnsi="Book Antiqua"/>
        </w:rPr>
        <w:t xml:space="preserve">Excel filed and was granted another patent for a further development of </w:t>
      </w:r>
      <w:r w:rsidR="00A141B4" w:rsidRPr="00DA04EE">
        <w:rPr>
          <w:rFonts w:ascii="Book Antiqua" w:hAnsi="Book Antiqua"/>
        </w:rPr>
        <w:t>the Link-</w:t>
      </w:r>
      <w:r w:rsidR="00E6788C" w:rsidRPr="00DA04EE">
        <w:rPr>
          <w:rFonts w:ascii="Book Antiqua" w:hAnsi="Book Antiqua"/>
        </w:rPr>
        <w:t>Tail with an added “adjustment strap” (“</w:t>
      </w:r>
      <w:r w:rsidR="00413300">
        <w:rPr>
          <w:rFonts w:ascii="Book Antiqua" w:hAnsi="Book Antiqua"/>
          <w:b/>
        </w:rPr>
        <w:t>GB‘</w:t>
      </w:r>
      <w:r w:rsidR="00E6788C" w:rsidRPr="00DA04EE">
        <w:rPr>
          <w:rFonts w:ascii="Book Antiqua" w:hAnsi="Book Antiqua"/>
          <w:b/>
        </w:rPr>
        <w:t>562</w:t>
      </w:r>
      <w:r w:rsidR="00E6788C" w:rsidRPr="00DA04EE">
        <w:rPr>
          <w:rFonts w:ascii="Book Antiqua" w:hAnsi="Book Antiqua"/>
        </w:rPr>
        <w:t>”).</w:t>
      </w:r>
    </w:p>
    <w:p w14:paraId="47BBDE0A" w14:textId="2AB28AF5" w:rsidR="00E6788C" w:rsidRPr="00DA04EE" w:rsidRDefault="00E6788C" w:rsidP="009E4653">
      <w:pPr>
        <w:pStyle w:val="ParaLevel1"/>
        <w:rPr>
          <w:rFonts w:ascii="Book Antiqua" w:hAnsi="Book Antiqua"/>
        </w:rPr>
      </w:pPr>
      <w:r w:rsidRPr="00DA04EE">
        <w:rPr>
          <w:rFonts w:ascii="Book Antiqua" w:hAnsi="Book Antiqua"/>
        </w:rPr>
        <w:lastRenderedPageBreak/>
        <w:t xml:space="preserve">This dispute arose because in December 2016 (and again in February 2017) the founder and director of Excel, Mr Robert Maclean, sent an email to the MoD raising what he perceived as quality issues with the Source </w:t>
      </w:r>
      <w:r w:rsidR="00AC298E">
        <w:rPr>
          <w:rFonts w:ascii="Book Antiqua" w:hAnsi="Book Antiqua"/>
        </w:rPr>
        <w:t>Ammunition Bag</w:t>
      </w:r>
      <w:r w:rsidRPr="00DA04EE">
        <w:rPr>
          <w:rFonts w:ascii="Book Antiqua" w:hAnsi="Book Antiqua"/>
        </w:rPr>
        <w:t xml:space="preserve">. Source came to learn of the email, and instructed its lawyers to write to Excel contending that by sending the email, Excel had repudiated the Licence Agreement and this was incompatible with it continuing in force. Accordingly, Source purported to terminate the Licence Agreement. </w:t>
      </w:r>
    </w:p>
    <w:p w14:paraId="0D41EFBE" w14:textId="1FD27621" w:rsidR="00E6788C" w:rsidRDefault="00E6788C" w:rsidP="009E4653">
      <w:pPr>
        <w:pStyle w:val="ParaLevel1"/>
        <w:rPr>
          <w:rFonts w:ascii="Book Antiqua" w:hAnsi="Book Antiqua"/>
        </w:rPr>
      </w:pPr>
      <w:r w:rsidRPr="00DA04EE">
        <w:rPr>
          <w:rFonts w:ascii="Book Antiqua" w:hAnsi="Book Antiqua"/>
        </w:rPr>
        <w:t>Meanwhile, Source developed its own design of bandolier-style ammunition bag in early 2017 (“</w:t>
      </w:r>
      <w:r w:rsidRPr="00DA04EE">
        <w:rPr>
          <w:rFonts w:ascii="Book Antiqua" w:hAnsi="Book Antiqua"/>
          <w:b/>
        </w:rPr>
        <w:t>the 2017 Bag</w:t>
      </w:r>
      <w:r w:rsidRPr="00DA04EE">
        <w:rPr>
          <w:rFonts w:ascii="Book Antiqua" w:hAnsi="Book Antiqua"/>
        </w:rPr>
        <w:t xml:space="preserve">”), which it </w:t>
      </w:r>
      <w:r w:rsidR="00032220">
        <w:rPr>
          <w:rFonts w:ascii="Book Antiqua" w:hAnsi="Book Antiqua"/>
        </w:rPr>
        <w:t>proposed to supply</w:t>
      </w:r>
      <w:r w:rsidRPr="00DA04EE">
        <w:rPr>
          <w:rFonts w:ascii="Book Antiqua" w:hAnsi="Book Antiqua"/>
        </w:rPr>
        <w:t xml:space="preserve"> to Virtus</w:t>
      </w:r>
      <w:r w:rsidR="00AC298E">
        <w:rPr>
          <w:rFonts w:ascii="Book Antiqua" w:hAnsi="Book Antiqua"/>
        </w:rPr>
        <w:t xml:space="preserve"> in place of the Source Ammunition Bag, having gone through an MoD evaluation process so to do</w:t>
      </w:r>
      <w:r w:rsidRPr="00DA04EE">
        <w:rPr>
          <w:rFonts w:ascii="Book Antiqua" w:hAnsi="Book Antiqua"/>
        </w:rPr>
        <w:t>. Excel claim that the 2017 Bag is based on the Link-Tail and</w:t>
      </w:r>
      <w:r w:rsidR="0039750A">
        <w:rPr>
          <w:rFonts w:ascii="Book Antiqua" w:hAnsi="Book Antiqua"/>
        </w:rPr>
        <w:t xml:space="preserve"> is an immaterial variant of it, falling within the footprint of GB’116. In addition,</w:t>
      </w:r>
      <w:r w:rsidR="008046C6">
        <w:rPr>
          <w:rFonts w:ascii="Book Antiqua" w:hAnsi="Book Antiqua"/>
        </w:rPr>
        <w:t xml:space="preserve"> even if it does not fall within the footprint of GB’116,</w:t>
      </w:r>
      <w:r w:rsidR="0039750A">
        <w:rPr>
          <w:rFonts w:ascii="Book Antiqua" w:hAnsi="Book Antiqua"/>
        </w:rPr>
        <w:t xml:space="preserve"> it has been </w:t>
      </w:r>
      <w:r w:rsidRPr="00DA04EE">
        <w:rPr>
          <w:rFonts w:ascii="Book Antiqua" w:hAnsi="Book Antiqua"/>
        </w:rPr>
        <w:t xml:space="preserve">created by </w:t>
      </w:r>
      <w:r w:rsidR="0039750A">
        <w:rPr>
          <w:rFonts w:ascii="Book Antiqua" w:hAnsi="Book Antiqua"/>
        </w:rPr>
        <w:t xml:space="preserve">Source by </w:t>
      </w:r>
      <w:r w:rsidRPr="00DA04EE">
        <w:rPr>
          <w:rFonts w:ascii="Book Antiqua" w:hAnsi="Book Antiqua"/>
        </w:rPr>
        <w:t xml:space="preserve">the use of </w:t>
      </w:r>
      <w:r w:rsidR="0039750A">
        <w:rPr>
          <w:rFonts w:ascii="Book Antiqua" w:hAnsi="Book Antiqua"/>
        </w:rPr>
        <w:t>Excel’s</w:t>
      </w:r>
      <w:r w:rsidRPr="00DA04EE">
        <w:rPr>
          <w:rFonts w:ascii="Book Antiqua" w:hAnsi="Book Antiqua"/>
        </w:rPr>
        <w:t xml:space="preserve"> Licensed Know-How</w:t>
      </w:r>
      <w:r w:rsidR="0039750A">
        <w:rPr>
          <w:rFonts w:ascii="Book Antiqua" w:hAnsi="Book Antiqua"/>
        </w:rPr>
        <w:t xml:space="preserve"> (as defined in the Licence Agreement)</w:t>
      </w:r>
      <w:r w:rsidRPr="00DA04EE">
        <w:rPr>
          <w:rFonts w:ascii="Book Antiqua" w:hAnsi="Book Antiqua"/>
        </w:rPr>
        <w:t xml:space="preserve">. </w:t>
      </w:r>
      <w:r w:rsidR="008046C6">
        <w:rPr>
          <w:rFonts w:ascii="Book Antiqua" w:hAnsi="Book Antiqua"/>
        </w:rPr>
        <w:t>In either case,</w:t>
      </w:r>
      <w:r w:rsidRPr="00DA04EE">
        <w:rPr>
          <w:rFonts w:ascii="Book Antiqua" w:hAnsi="Book Antiqua"/>
        </w:rPr>
        <w:t xml:space="preserve"> </w:t>
      </w:r>
      <w:r w:rsidR="00A141B4" w:rsidRPr="00DA04EE">
        <w:rPr>
          <w:rFonts w:ascii="Book Antiqua" w:hAnsi="Book Antiqua"/>
        </w:rPr>
        <w:t xml:space="preserve">Excel claims, </w:t>
      </w:r>
      <w:r w:rsidR="008046C6">
        <w:rPr>
          <w:rFonts w:ascii="Book Antiqua" w:hAnsi="Book Antiqua"/>
        </w:rPr>
        <w:t>the 2017 Bag</w:t>
      </w:r>
      <w:r w:rsidRPr="00DA04EE">
        <w:rPr>
          <w:rFonts w:ascii="Book Antiqua" w:hAnsi="Book Antiqua"/>
        </w:rPr>
        <w:t xml:space="preserve"> is </w:t>
      </w:r>
      <w:r w:rsidR="00C53655" w:rsidRPr="00DA04EE">
        <w:rPr>
          <w:rFonts w:ascii="Book Antiqua" w:hAnsi="Book Antiqua"/>
        </w:rPr>
        <w:t>royalty bearing</w:t>
      </w:r>
      <w:r w:rsidRPr="00DA04EE">
        <w:rPr>
          <w:rFonts w:ascii="Book Antiqua" w:hAnsi="Book Antiqua"/>
        </w:rPr>
        <w:t xml:space="preserve"> pu</w:t>
      </w:r>
      <w:r w:rsidR="00A141B4" w:rsidRPr="00DA04EE">
        <w:rPr>
          <w:rFonts w:ascii="Book Antiqua" w:hAnsi="Book Antiqua"/>
        </w:rPr>
        <w:t>rsuant to the Licence Agreement.</w:t>
      </w:r>
      <w:r w:rsidRPr="00DA04EE">
        <w:rPr>
          <w:rFonts w:ascii="Book Antiqua" w:hAnsi="Book Antiqua"/>
        </w:rPr>
        <w:t xml:space="preserve"> Source say</w:t>
      </w:r>
      <w:r w:rsidR="00466753" w:rsidRPr="00DA04EE">
        <w:rPr>
          <w:rFonts w:ascii="Book Antiqua" w:hAnsi="Book Antiqua"/>
        </w:rPr>
        <w:t>s</w:t>
      </w:r>
      <w:r w:rsidRPr="00DA04EE">
        <w:rPr>
          <w:rFonts w:ascii="Book Antiqua" w:hAnsi="Book Antiqua"/>
        </w:rPr>
        <w:t xml:space="preserve"> that the 2017 Bag is a new creation inspired not by the Link-Tail but by a bandolier ammunition bag used in the British Army in the 1980s, and known as “</w:t>
      </w:r>
      <w:r w:rsidRPr="00DA04EE">
        <w:rPr>
          <w:rFonts w:ascii="Book Antiqua" w:hAnsi="Book Antiqua"/>
          <w:b/>
        </w:rPr>
        <w:t>the Q33A</w:t>
      </w:r>
      <w:r w:rsidRPr="00DA04EE">
        <w:rPr>
          <w:rFonts w:ascii="Book Antiqua" w:hAnsi="Book Antiqua"/>
        </w:rPr>
        <w:t xml:space="preserve">”. </w:t>
      </w:r>
    </w:p>
    <w:p w14:paraId="2738147E" w14:textId="2EE479A2" w:rsidR="00AC298E" w:rsidRDefault="00AC298E" w:rsidP="009E4653">
      <w:pPr>
        <w:pStyle w:val="ParaLevel1"/>
        <w:rPr>
          <w:rFonts w:ascii="Book Antiqua" w:hAnsi="Book Antiqua"/>
        </w:rPr>
      </w:pPr>
      <w:r>
        <w:rPr>
          <w:rFonts w:ascii="Book Antiqua" w:hAnsi="Book Antiqua"/>
        </w:rPr>
        <w:t>The below photograph shows the Link-Tail (top) and the Source Ammunition Bag (below)</w:t>
      </w:r>
      <w:r w:rsidR="002E7E4F">
        <w:rPr>
          <w:rFonts w:ascii="Book Antiqua" w:hAnsi="Book Antiqua"/>
        </w:rPr>
        <w:t xml:space="preserve"> (Image 2)</w:t>
      </w:r>
      <w:r>
        <w:rPr>
          <w:rFonts w:ascii="Book Antiqua" w:hAnsi="Book Antiqua"/>
        </w:rPr>
        <w:t>.</w:t>
      </w:r>
    </w:p>
    <w:p w14:paraId="01D61635" w14:textId="3CAE5C4E" w:rsidR="00FE6601" w:rsidRDefault="00AC298E" w:rsidP="009E4653">
      <w:pPr>
        <w:pStyle w:val="ParaLevel1"/>
        <w:numPr>
          <w:ilvl w:val="0"/>
          <w:numId w:val="0"/>
        </w:numPr>
        <w:ind w:left="862"/>
        <w:rPr>
          <w:rFonts w:ascii="Book Antiqua" w:hAnsi="Book Antiqua"/>
        </w:rPr>
      </w:pPr>
      <w:r>
        <w:rPr>
          <w:rFonts w:ascii="Book Antiqua" w:hAnsi="Book Antiqua"/>
          <w:noProof/>
          <w:lang w:val="nl-NL" w:eastAsia="nl-NL"/>
        </w:rPr>
        <w:drawing>
          <wp:inline distT="0" distB="0" distL="0" distR="0" wp14:anchorId="1F326971" wp14:editId="69A010B8">
            <wp:extent cx="3979668" cy="2057400"/>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980195" cy="2057672"/>
                    </a:xfrm>
                    <a:prstGeom prst="rect">
                      <a:avLst/>
                    </a:prstGeom>
                    <a:noFill/>
                    <a:ln>
                      <a:noFill/>
                    </a:ln>
                  </pic:spPr>
                </pic:pic>
              </a:graphicData>
            </a:graphic>
          </wp:inline>
        </w:drawing>
      </w:r>
    </w:p>
    <w:p w14:paraId="1877862A" w14:textId="0052C181" w:rsidR="009A4306" w:rsidRPr="00DA04EE" w:rsidRDefault="00E6788C" w:rsidP="009E4653">
      <w:pPr>
        <w:pStyle w:val="ParaLevel1"/>
        <w:rPr>
          <w:rFonts w:ascii="Book Antiqua" w:hAnsi="Book Antiqua"/>
        </w:rPr>
      </w:pPr>
      <w:r w:rsidRPr="00DA04EE">
        <w:rPr>
          <w:rFonts w:ascii="Book Antiqua" w:hAnsi="Book Antiqua"/>
        </w:rPr>
        <w:t>The below</w:t>
      </w:r>
      <w:r w:rsidR="0034783B" w:rsidRPr="00DA04EE">
        <w:rPr>
          <w:rFonts w:ascii="Book Antiqua" w:hAnsi="Book Antiqua"/>
        </w:rPr>
        <w:t xml:space="preserve"> </w:t>
      </w:r>
      <w:r w:rsidRPr="00DA04EE">
        <w:rPr>
          <w:rFonts w:ascii="Book Antiqua" w:hAnsi="Book Antiqua"/>
        </w:rPr>
        <w:t>photograph</w:t>
      </w:r>
      <w:r w:rsidR="00A31019" w:rsidRPr="00DA04EE">
        <w:rPr>
          <w:rFonts w:ascii="Book Antiqua" w:hAnsi="Book Antiqua"/>
        </w:rPr>
        <w:t xml:space="preserve"> </w:t>
      </w:r>
      <w:r w:rsidR="0034783B" w:rsidRPr="00DA04EE">
        <w:rPr>
          <w:rFonts w:ascii="Book Antiqua" w:hAnsi="Book Antiqua"/>
        </w:rPr>
        <w:t>show</w:t>
      </w:r>
      <w:r w:rsidR="00466753" w:rsidRPr="00DA04EE">
        <w:rPr>
          <w:rFonts w:ascii="Book Antiqua" w:hAnsi="Book Antiqua"/>
        </w:rPr>
        <w:t xml:space="preserve">s </w:t>
      </w:r>
      <w:r w:rsidR="00044387" w:rsidRPr="00DA04EE">
        <w:rPr>
          <w:rFonts w:ascii="Book Antiqua" w:hAnsi="Book Antiqua"/>
        </w:rPr>
        <w:t>the Q33A</w:t>
      </w:r>
      <w:r w:rsidR="00044387">
        <w:rPr>
          <w:rFonts w:ascii="Book Antiqua" w:hAnsi="Book Antiqua"/>
        </w:rPr>
        <w:t xml:space="preserve"> (left); </w:t>
      </w:r>
      <w:r w:rsidR="0034783B" w:rsidRPr="00DA04EE">
        <w:rPr>
          <w:rFonts w:ascii="Book Antiqua" w:hAnsi="Book Antiqua"/>
        </w:rPr>
        <w:t>the Link-Tail</w:t>
      </w:r>
      <w:r w:rsidR="00044387">
        <w:rPr>
          <w:rFonts w:ascii="Book Antiqua" w:hAnsi="Book Antiqua"/>
        </w:rPr>
        <w:t xml:space="preserve"> (middle)</w:t>
      </w:r>
      <w:r w:rsidR="0034783B" w:rsidRPr="00DA04EE">
        <w:rPr>
          <w:rFonts w:ascii="Book Antiqua" w:hAnsi="Book Antiqua"/>
        </w:rPr>
        <w:t>; and</w:t>
      </w:r>
      <w:r w:rsidR="00F821B0" w:rsidRPr="00F821B0">
        <w:rPr>
          <w:rFonts w:ascii="Book Antiqua" w:hAnsi="Book Antiqua"/>
        </w:rPr>
        <w:t xml:space="preserve"> </w:t>
      </w:r>
      <w:r w:rsidR="00F821B0" w:rsidRPr="00DA04EE">
        <w:rPr>
          <w:rFonts w:ascii="Book Antiqua" w:hAnsi="Book Antiqua"/>
        </w:rPr>
        <w:t>the 2017 Bag</w:t>
      </w:r>
      <w:r w:rsidR="00F821B0">
        <w:rPr>
          <w:rFonts w:ascii="Book Antiqua" w:hAnsi="Book Antiqua"/>
        </w:rPr>
        <w:t xml:space="preserve"> (right)</w:t>
      </w:r>
      <w:r w:rsidR="00F821B0" w:rsidRPr="00DA04EE">
        <w:rPr>
          <w:rFonts w:ascii="Book Antiqua" w:hAnsi="Book Antiqua"/>
        </w:rPr>
        <w:t>;</w:t>
      </w:r>
      <w:r w:rsidR="0034783B" w:rsidRPr="00DA04EE">
        <w:rPr>
          <w:rFonts w:ascii="Book Antiqua" w:hAnsi="Book Antiqua"/>
        </w:rPr>
        <w:t xml:space="preserve"> </w:t>
      </w:r>
      <w:r w:rsidR="00466753" w:rsidRPr="00DA04EE">
        <w:rPr>
          <w:rFonts w:ascii="Book Antiqua" w:hAnsi="Book Antiqua"/>
        </w:rPr>
        <w:t xml:space="preserve">in each case </w:t>
      </w:r>
      <w:r w:rsidR="0034783B" w:rsidRPr="00DA04EE">
        <w:rPr>
          <w:rFonts w:ascii="Book Antiqua" w:hAnsi="Book Antiqua"/>
        </w:rPr>
        <w:t>with the top flap open</w:t>
      </w:r>
      <w:r w:rsidR="00B26EBB" w:rsidRPr="00DA04EE">
        <w:rPr>
          <w:rFonts w:ascii="Book Antiqua" w:hAnsi="Book Antiqua"/>
        </w:rPr>
        <w:t xml:space="preserve"> </w:t>
      </w:r>
      <w:r w:rsidR="000A4EFF">
        <w:rPr>
          <w:rFonts w:ascii="Book Antiqua" w:hAnsi="Book Antiqua"/>
        </w:rPr>
        <w:t>(Image 3</w:t>
      </w:r>
      <w:r w:rsidRPr="00DA04EE">
        <w:rPr>
          <w:rFonts w:ascii="Book Antiqua" w:hAnsi="Book Antiqua"/>
        </w:rPr>
        <w:t>)</w:t>
      </w:r>
      <w:r w:rsidR="000A4EFF">
        <w:rPr>
          <w:rFonts w:ascii="Book Antiqua" w:hAnsi="Book Antiqua"/>
        </w:rPr>
        <w:t>:</w:t>
      </w:r>
      <w:r w:rsidR="00AB32F8" w:rsidRPr="00DA04EE">
        <w:rPr>
          <w:rFonts w:ascii="Book Antiqua" w:hAnsi="Book Antiqua"/>
        </w:rPr>
        <w:t xml:space="preserve"> </w:t>
      </w:r>
    </w:p>
    <w:p w14:paraId="3A6812E9" w14:textId="738DE311" w:rsidR="00A31019" w:rsidRPr="00DA04EE" w:rsidRDefault="0034783B" w:rsidP="009E4653">
      <w:pPr>
        <w:pStyle w:val="ParaLevel1"/>
        <w:numPr>
          <w:ilvl w:val="0"/>
          <w:numId w:val="0"/>
        </w:numPr>
        <w:ind w:left="1701"/>
        <w:rPr>
          <w:rFonts w:ascii="Book Antiqua" w:hAnsi="Book Antiqua"/>
        </w:rPr>
      </w:pPr>
      <w:r w:rsidRPr="00DA04EE">
        <w:rPr>
          <w:rFonts w:ascii="Book Antiqua" w:hAnsi="Book Antiqua"/>
          <w:noProof/>
          <w:lang w:val="nl-NL" w:eastAsia="nl-NL"/>
        </w:rPr>
        <w:drawing>
          <wp:inline distT="0" distB="0" distL="0" distR="0" wp14:anchorId="5A958AB7" wp14:editId="215678AD">
            <wp:extent cx="3922516" cy="3200456"/>
            <wp:effectExtent l="5398" t="0" r="0" b="0"/>
            <wp:docPr id="2" name="Picture 2" descr="Macintosh HD:Users:melissaclarke:Library:Containers:com.apple.mail:Data:Library:Mail Downloads:68CDC8C0-0E77-4BFE-A5FB-5228C63D4F1C: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elissaclarke:Library:Containers:com.apple.mail:Data:Library:Mail Downloads:68CDC8C0-0E77-4BFE-A5FB-5228C63D4F1C:IMG_0875.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rot="16200000">
                      <a:off x="0" y="0"/>
                      <a:ext cx="3923584" cy="3201327"/>
                    </a:xfrm>
                    <a:prstGeom prst="rect">
                      <a:avLst/>
                    </a:prstGeom>
                    <a:noFill/>
                    <a:ln>
                      <a:noFill/>
                    </a:ln>
                  </pic:spPr>
                </pic:pic>
              </a:graphicData>
            </a:graphic>
          </wp:inline>
        </w:drawing>
      </w:r>
    </w:p>
    <w:p w14:paraId="0D60413E" w14:textId="77777777" w:rsidR="00BD4572" w:rsidRDefault="00BD4572" w:rsidP="009E4653">
      <w:pPr>
        <w:pStyle w:val="ParaLevel1"/>
        <w:numPr>
          <w:ilvl w:val="0"/>
          <w:numId w:val="0"/>
        </w:numPr>
        <w:ind w:left="862"/>
        <w:rPr>
          <w:rFonts w:ascii="Book Antiqua" w:hAnsi="Book Antiqua"/>
        </w:rPr>
      </w:pPr>
    </w:p>
    <w:p w14:paraId="10D5738C" w14:textId="51DF4E4C" w:rsidR="002E7E4F" w:rsidRDefault="00B33896" w:rsidP="009E4653">
      <w:pPr>
        <w:pStyle w:val="ParaLevel1"/>
        <w:rPr>
          <w:rFonts w:ascii="Book Antiqua" w:hAnsi="Book Antiqua"/>
        </w:rPr>
      </w:pPr>
      <w:r w:rsidRPr="00DA04EE">
        <w:rPr>
          <w:rFonts w:ascii="Book Antiqua" w:hAnsi="Book Antiqua"/>
        </w:rPr>
        <w:t xml:space="preserve">The </w:t>
      </w:r>
      <w:r w:rsidR="0034783B" w:rsidRPr="00DA04EE">
        <w:rPr>
          <w:rFonts w:ascii="Book Antiqua" w:hAnsi="Book Antiqua"/>
        </w:rPr>
        <w:t>Link-Tail and the 2017 Bag, although similar, can be quickly distinguished because the Link-Tail has a zip</w:t>
      </w:r>
      <w:r w:rsidR="000A4EFF">
        <w:rPr>
          <w:rFonts w:ascii="Book Antiqua" w:hAnsi="Book Antiqua"/>
        </w:rPr>
        <w:t>ped opening</w:t>
      </w:r>
      <w:r w:rsidR="0034783B" w:rsidRPr="00DA04EE">
        <w:rPr>
          <w:rFonts w:ascii="Book Antiqua" w:hAnsi="Book Antiqua"/>
        </w:rPr>
        <w:t xml:space="preserve"> running down the length of it and the 2017 Bag does not. </w:t>
      </w:r>
      <w:r w:rsidR="00BD4572">
        <w:rPr>
          <w:rFonts w:ascii="Book Antiqua" w:hAnsi="Book Antiqua"/>
        </w:rPr>
        <w:t xml:space="preserve">Nor does the Q33A. </w:t>
      </w:r>
      <w:r w:rsidR="00B26EBB" w:rsidRPr="00DA04EE">
        <w:rPr>
          <w:rFonts w:ascii="Book Antiqua" w:hAnsi="Book Antiqua"/>
        </w:rPr>
        <w:t>The Link-Tail and the 2017 Bag also have a somewhat different shape in cross-section</w:t>
      </w:r>
      <w:r w:rsidR="00FE6601">
        <w:rPr>
          <w:rFonts w:ascii="Book Antiqua" w:hAnsi="Book Antiqua"/>
        </w:rPr>
        <w:t xml:space="preserve">. </w:t>
      </w:r>
      <w:r w:rsidR="00B26EBB" w:rsidRPr="00DA04EE">
        <w:rPr>
          <w:rFonts w:ascii="Book Antiqua" w:hAnsi="Book Antiqua"/>
        </w:rPr>
        <w:t>The Link-Tail is a rounded triangle</w:t>
      </w:r>
      <w:r w:rsidR="00E6788C" w:rsidRPr="00DA04EE">
        <w:rPr>
          <w:rFonts w:ascii="Book Antiqua" w:hAnsi="Book Antiqua"/>
        </w:rPr>
        <w:t xml:space="preserve"> and the 2017 Bag is flat with </w:t>
      </w:r>
      <w:r w:rsidR="00466753" w:rsidRPr="00DA04EE">
        <w:rPr>
          <w:rFonts w:ascii="Book Antiqua" w:hAnsi="Book Antiqua"/>
        </w:rPr>
        <w:t xml:space="preserve">side </w:t>
      </w:r>
      <w:r w:rsidR="00BD4572">
        <w:rPr>
          <w:rFonts w:ascii="Book Antiqua" w:hAnsi="Book Antiqua"/>
        </w:rPr>
        <w:t>gusset</w:t>
      </w:r>
      <w:r w:rsidR="002E7E4F">
        <w:rPr>
          <w:rFonts w:ascii="Book Antiqua" w:hAnsi="Book Antiqua"/>
        </w:rPr>
        <w:t>s</w:t>
      </w:r>
      <w:r w:rsidR="00BD4572">
        <w:rPr>
          <w:rFonts w:ascii="Book Antiqua" w:hAnsi="Book Antiqua"/>
        </w:rPr>
        <w:t>.</w:t>
      </w:r>
      <w:r w:rsidR="002E7E4F" w:rsidRPr="002E7E4F">
        <w:rPr>
          <w:rFonts w:ascii="Book Antiqua" w:hAnsi="Book Antiqua"/>
        </w:rPr>
        <w:t xml:space="preserve"> </w:t>
      </w:r>
      <w:r w:rsidR="00FE6601">
        <w:rPr>
          <w:rFonts w:ascii="Book Antiqua" w:hAnsi="Book Antiqua"/>
        </w:rPr>
        <w:t>This can be seen in the</w:t>
      </w:r>
      <w:r w:rsidR="002E7E4F">
        <w:rPr>
          <w:rFonts w:ascii="Book Antiqua" w:hAnsi="Book Antiqua"/>
        </w:rPr>
        <w:t xml:space="preserve"> photograph </w:t>
      </w:r>
      <w:r w:rsidR="00FE6601">
        <w:rPr>
          <w:rFonts w:ascii="Book Antiqua" w:hAnsi="Book Antiqua"/>
        </w:rPr>
        <w:t xml:space="preserve">below which </w:t>
      </w:r>
      <w:r w:rsidR="002E7E4F">
        <w:rPr>
          <w:rFonts w:ascii="Book Antiqua" w:hAnsi="Book Antiqua"/>
        </w:rPr>
        <w:t>shows the reverse of the 2017 Bag (left) an</w:t>
      </w:r>
      <w:r w:rsidR="00FE6601">
        <w:rPr>
          <w:rFonts w:ascii="Book Antiqua" w:hAnsi="Book Antiqua"/>
        </w:rPr>
        <w:t>d the Link-Tail (right) (Image 4</w:t>
      </w:r>
      <w:r w:rsidR="002E7E4F">
        <w:rPr>
          <w:rFonts w:ascii="Book Antiqua" w:hAnsi="Book Antiqua"/>
        </w:rPr>
        <w:t>):</w:t>
      </w:r>
    </w:p>
    <w:p w14:paraId="06738557" w14:textId="3B93CF51" w:rsidR="0034783B" w:rsidRPr="00BD4572" w:rsidRDefault="002E7E4F" w:rsidP="009E4653">
      <w:pPr>
        <w:pStyle w:val="ParaLevel1"/>
        <w:numPr>
          <w:ilvl w:val="0"/>
          <w:numId w:val="0"/>
        </w:numPr>
        <w:ind w:left="862"/>
        <w:rPr>
          <w:rFonts w:ascii="Book Antiqua" w:hAnsi="Book Antiqua"/>
        </w:rPr>
      </w:pPr>
      <w:r>
        <w:rPr>
          <w:rFonts w:ascii="Book Antiqua" w:hAnsi="Book Antiqua"/>
          <w:noProof/>
          <w:lang w:val="nl-NL" w:eastAsia="nl-NL"/>
        </w:rPr>
        <w:drawing>
          <wp:inline distT="0" distB="0" distL="0" distR="0" wp14:anchorId="0FB3E0E9" wp14:editId="39137C49">
            <wp:extent cx="3265050" cy="3771900"/>
            <wp:effectExtent l="0" t="0" r="1206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65641" cy="3772583"/>
                    </a:xfrm>
                    <a:prstGeom prst="rect">
                      <a:avLst/>
                    </a:prstGeom>
                    <a:noFill/>
                    <a:ln>
                      <a:noFill/>
                    </a:ln>
                  </pic:spPr>
                </pic:pic>
              </a:graphicData>
            </a:graphic>
          </wp:inline>
        </w:drawing>
      </w:r>
    </w:p>
    <w:p w14:paraId="0A119AB5" w14:textId="3294A26F" w:rsidR="00AB32F8" w:rsidRPr="00DA04EE" w:rsidRDefault="009A4306" w:rsidP="009E4653">
      <w:pPr>
        <w:pStyle w:val="ParaLevel1"/>
        <w:numPr>
          <w:ilvl w:val="0"/>
          <w:numId w:val="0"/>
        </w:numPr>
        <w:ind w:left="142"/>
        <w:rPr>
          <w:rFonts w:ascii="Book Antiqua" w:hAnsi="Book Antiqua"/>
          <w:b/>
        </w:rPr>
      </w:pPr>
      <w:r w:rsidRPr="00DA04EE">
        <w:rPr>
          <w:rFonts w:ascii="Book Antiqua" w:hAnsi="Book Antiqua"/>
          <w:b/>
        </w:rPr>
        <w:t>PROCEEDINGS</w:t>
      </w:r>
      <w:r w:rsidR="00AB32F8" w:rsidRPr="00DA04EE">
        <w:rPr>
          <w:rFonts w:ascii="Book Antiqua" w:hAnsi="Book Antiqua"/>
          <w:b/>
        </w:rPr>
        <w:t xml:space="preserve">  </w:t>
      </w:r>
    </w:p>
    <w:p w14:paraId="712E7A36" w14:textId="4695DF92" w:rsidR="001C475D" w:rsidRPr="00DA04EE" w:rsidRDefault="00335716" w:rsidP="009E4653">
      <w:pPr>
        <w:pStyle w:val="ParaLevel1"/>
        <w:rPr>
          <w:rFonts w:ascii="Book Antiqua" w:hAnsi="Book Antiqua"/>
        </w:rPr>
      </w:pPr>
      <w:r w:rsidRPr="00DA04EE">
        <w:rPr>
          <w:rFonts w:ascii="Book Antiqua" w:hAnsi="Book Antiqua"/>
        </w:rPr>
        <w:t xml:space="preserve">In January </w:t>
      </w:r>
      <w:r w:rsidR="00AB32F8" w:rsidRPr="00DA04EE">
        <w:rPr>
          <w:rFonts w:ascii="Book Antiqua" w:hAnsi="Book Antiqua"/>
        </w:rPr>
        <w:t>2018 Excel issued this claim for:</w:t>
      </w:r>
    </w:p>
    <w:p w14:paraId="411E7E0F" w14:textId="79490E5B" w:rsidR="00AB32F8" w:rsidRPr="00DA04EE" w:rsidRDefault="00AB32F8" w:rsidP="009E4653">
      <w:pPr>
        <w:pStyle w:val="ParaLevel2"/>
        <w:rPr>
          <w:rFonts w:ascii="Book Antiqua" w:hAnsi="Book Antiqua"/>
        </w:rPr>
      </w:pPr>
      <w:r w:rsidRPr="008046C6">
        <w:rPr>
          <w:rFonts w:ascii="Book Antiqua" w:hAnsi="Book Antiqua"/>
          <w:b/>
        </w:rPr>
        <w:t>A declaration that the Licence Agreement remains in force and was not r</w:t>
      </w:r>
      <w:r w:rsidR="00335716" w:rsidRPr="008046C6">
        <w:rPr>
          <w:rFonts w:ascii="Book Antiqua" w:hAnsi="Book Antiqua"/>
          <w:b/>
        </w:rPr>
        <w:t>epudiated by any action of Exce</w:t>
      </w:r>
      <w:r w:rsidRPr="008046C6">
        <w:rPr>
          <w:rFonts w:ascii="Book Antiqua" w:hAnsi="Book Antiqua"/>
          <w:b/>
        </w:rPr>
        <w:t>l</w:t>
      </w:r>
      <w:r w:rsidR="00130358" w:rsidRPr="00DA04EE">
        <w:rPr>
          <w:rFonts w:ascii="Book Antiqua" w:hAnsi="Book Antiqua"/>
        </w:rPr>
        <w:t>;</w:t>
      </w:r>
      <w:r w:rsidR="00466753" w:rsidRPr="00DA04EE">
        <w:rPr>
          <w:rFonts w:ascii="Book Antiqua" w:hAnsi="Book Antiqua"/>
        </w:rPr>
        <w:t xml:space="preserve"> </w:t>
      </w:r>
    </w:p>
    <w:p w14:paraId="1230B733" w14:textId="680A9C7D" w:rsidR="00AB32F8" w:rsidRDefault="00AB32F8" w:rsidP="009E4653">
      <w:pPr>
        <w:pStyle w:val="ParaLevel2"/>
        <w:rPr>
          <w:rFonts w:ascii="Book Antiqua" w:hAnsi="Book Antiqua"/>
        </w:rPr>
      </w:pPr>
      <w:r w:rsidRPr="008046C6">
        <w:rPr>
          <w:rFonts w:ascii="Book Antiqua" w:hAnsi="Book Antiqua"/>
          <w:b/>
        </w:rPr>
        <w:t>Unpaid royalties and/or</w:t>
      </w:r>
      <w:r w:rsidR="00F821B0" w:rsidRPr="008046C6">
        <w:rPr>
          <w:rFonts w:ascii="Book Antiqua" w:hAnsi="Book Antiqua"/>
          <w:b/>
        </w:rPr>
        <w:t xml:space="preserve"> damages for breach of contract</w:t>
      </w:r>
      <w:r w:rsidR="00B3272E" w:rsidRPr="008046C6">
        <w:rPr>
          <w:rFonts w:ascii="Book Antiqua" w:hAnsi="Book Antiqua"/>
          <w:b/>
        </w:rPr>
        <w:t>.</w:t>
      </w:r>
      <w:r w:rsidR="00B3272E">
        <w:rPr>
          <w:rFonts w:ascii="Book Antiqua" w:hAnsi="Book Antiqua"/>
        </w:rPr>
        <w:t xml:space="preserve"> Excel no longer asserts any positive case that royalties are outstanding. Instead it seeks damages for breach of contract by</w:t>
      </w:r>
      <w:r w:rsidR="008046C6">
        <w:rPr>
          <w:rFonts w:ascii="Book Antiqua" w:hAnsi="Book Antiqua"/>
        </w:rPr>
        <w:t xml:space="preserve">, </w:t>
      </w:r>
      <w:r w:rsidR="008046C6" w:rsidRPr="008046C6">
        <w:rPr>
          <w:rFonts w:ascii="Book Antiqua" w:hAnsi="Book Antiqua"/>
          <w:i/>
        </w:rPr>
        <w:t>inter alia</w:t>
      </w:r>
      <w:r w:rsidR="008046C6">
        <w:rPr>
          <w:rFonts w:ascii="Book Antiqua" w:hAnsi="Book Antiqua"/>
        </w:rPr>
        <w:t>,</w:t>
      </w:r>
      <w:r w:rsidR="00B3272E">
        <w:rPr>
          <w:rFonts w:ascii="Book Antiqua" w:hAnsi="Book Antiqua"/>
        </w:rPr>
        <w:t xml:space="preserve"> the purported wrongful termination of the Licence Agreement</w:t>
      </w:r>
      <w:r w:rsidR="00F821B0">
        <w:rPr>
          <w:rFonts w:ascii="Book Antiqua" w:hAnsi="Book Antiqua"/>
        </w:rPr>
        <w:t>;</w:t>
      </w:r>
    </w:p>
    <w:p w14:paraId="03B95051" w14:textId="2C626412" w:rsidR="00F821B0" w:rsidRPr="00DA04EE" w:rsidRDefault="00F821B0" w:rsidP="009E4653">
      <w:pPr>
        <w:pStyle w:val="ParaLevel2"/>
        <w:rPr>
          <w:rFonts w:ascii="Book Antiqua" w:hAnsi="Book Antiqua"/>
        </w:rPr>
      </w:pPr>
      <w:r w:rsidRPr="008046C6">
        <w:rPr>
          <w:rFonts w:ascii="Book Antiqua" w:hAnsi="Book Antiqua"/>
          <w:b/>
        </w:rPr>
        <w:t>Contractual costs</w:t>
      </w:r>
      <w:r>
        <w:rPr>
          <w:rFonts w:ascii="Book Antiqua" w:hAnsi="Book Antiqua"/>
        </w:rPr>
        <w:t>.</w:t>
      </w:r>
    </w:p>
    <w:p w14:paraId="4173A129" w14:textId="1F07ED79" w:rsidR="00AB32F8" w:rsidRPr="00DA04EE" w:rsidRDefault="00AB32F8" w:rsidP="009E4653">
      <w:pPr>
        <w:pStyle w:val="ParaLevel1"/>
        <w:rPr>
          <w:rFonts w:ascii="Book Antiqua" w:hAnsi="Book Antiqua"/>
        </w:rPr>
      </w:pPr>
      <w:r w:rsidRPr="00DA04EE">
        <w:rPr>
          <w:rFonts w:ascii="Book Antiqua" w:hAnsi="Book Antiqua"/>
        </w:rPr>
        <w:t xml:space="preserve">Source </w:t>
      </w:r>
      <w:r w:rsidR="005239EA" w:rsidRPr="00DA04EE">
        <w:rPr>
          <w:rFonts w:ascii="Book Antiqua" w:hAnsi="Book Antiqua"/>
        </w:rPr>
        <w:t xml:space="preserve">defends, and </w:t>
      </w:r>
      <w:r w:rsidRPr="00DA04EE">
        <w:rPr>
          <w:rFonts w:ascii="Book Antiqua" w:hAnsi="Book Antiqua"/>
        </w:rPr>
        <w:t>counterc</w:t>
      </w:r>
      <w:r w:rsidR="005239EA" w:rsidRPr="00DA04EE">
        <w:rPr>
          <w:rFonts w:ascii="Book Antiqua" w:hAnsi="Book Antiqua"/>
        </w:rPr>
        <w:t>laims</w:t>
      </w:r>
      <w:r w:rsidR="00335716" w:rsidRPr="00DA04EE">
        <w:rPr>
          <w:rFonts w:ascii="Book Antiqua" w:hAnsi="Book Antiqua"/>
        </w:rPr>
        <w:t xml:space="preserve"> for:</w:t>
      </w:r>
    </w:p>
    <w:p w14:paraId="16563F71" w14:textId="7A2252B4" w:rsidR="00AB32F8" w:rsidRPr="00DA04EE" w:rsidRDefault="00AB32F8" w:rsidP="009E4653">
      <w:pPr>
        <w:pStyle w:val="ParaLevel2"/>
        <w:rPr>
          <w:rFonts w:ascii="Book Antiqua" w:hAnsi="Book Antiqua"/>
        </w:rPr>
      </w:pPr>
      <w:r w:rsidRPr="008046C6">
        <w:rPr>
          <w:rFonts w:ascii="Book Antiqua" w:hAnsi="Book Antiqua"/>
          <w:b/>
        </w:rPr>
        <w:t>A</w:t>
      </w:r>
      <w:r w:rsidR="00AE6AF8" w:rsidRPr="008046C6">
        <w:rPr>
          <w:rFonts w:ascii="Book Antiqua" w:hAnsi="Book Antiqua"/>
          <w:b/>
        </w:rPr>
        <w:t xml:space="preserve"> declaration that the L</w:t>
      </w:r>
      <w:r w:rsidRPr="008046C6">
        <w:rPr>
          <w:rFonts w:ascii="Book Antiqua" w:hAnsi="Book Antiqua"/>
          <w:b/>
        </w:rPr>
        <w:t xml:space="preserve">icence </w:t>
      </w:r>
      <w:r w:rsidR="00AE6AF8" w:rsidRPr="008046C6">
        <w:rPr>
          <w:rFonts w:ascii="Book Antiqua" w:hAnsi="Book Antiqua"/>
          <w:b/>
        </w:rPr>
        <w:t xml:space="preserve">Agreement </w:t>
      </w:r>
      <w:r w:rsidRPr="008046C6">
        <w:rPr>
          <w:rFonts w:ascii="Book Antiqua" w:hAnsi="Book Antiqua"/>
          <w:b/>
        </w:rPr>
        <w:t>was repudiated by Excel and properly terminated by Source</w:t>
      </w:r>
      <w:r w:rsidR="00AE6AF8" w:rsidRPr="008046C6">
        <w:rPr>
          <w:rFonts w:ascii="Book Antiqua" w:hAnsi="Book Antiqua"/>
          <w:b/>
        </w:rPr>
        <w:t>.</w:t>
      </w:r>
      <w:r w:rsidR="00AE6AF8" w:rsidRPr="00DA04EE">
        <w:rPr>
          <w:rFonts w:ascii="Book Antiqua" w:hAnsi="Book Antiqua"/>
        </w:rPr>
        <w:t xml:space="preserve"> However, very shortly before trial, by </w:t>
      </w:r>
      <w:r w:rsidR="00EC192A">
        <w:rPr>
          <w:rFonts w:ascii="Book Antiqua" w:hAnsi="Book Antiqua"/>
        </w:rPr>
        <w:t xml:space="preserve">an open </w:t>
      </w:r>
      <w:r w:rsidR="00AE6AF8" w:rsidRPr="00DA04EE">
        <w:rPr>
          <w:rFonts w:ascii="Book Antiqua" w:hAnsi="Book Antiqua"/>
        </w:rPr>
        <w:t xml:space="preserve">letter </w:t>
      </w:r>
      <w:r w:rsidR="00EC192A">
        <w:rPr>
          <w:rFonts w:ascii="Book Antiqua" w:hAnsi="Book Antiqua"/>
        </w:rPr>
        <w:t xml:space="preserve">from Source to Excel </w:t>
      </w:r>
      <w:r w:rsidR="00AE6AF8" w:rsidRPr="00DA04EE">
        <w:rPr>
          <w:rFonts w:ascii="Book Antiqua" w:hAnsi="Book Antiqua"/>
        </w:rPr>
        <w:t xml:space="preserve">of 4 June 2019, Source </w:t>
      </w:r>
      <w:r w:rsidR="00EC192A">
        <w:rPr>
          <w:rFonts w:ascii="Book Antiqua" w:hAnsi="Book Antiqua"/>
        </w:rPr>
        <w:t>abandoned its case</w:t>
      </w:r>
      <w:r w:rsidR="00AE6AF8" w:rsidRPr="00DA04EE">
        <w:rPr>
          <w:rFonts w:ascii="Book Antiqua" w:hAnsi="Book Antiqua"/>
        </w:rPr>
        <w:t xml:space="preserve"> that </w:t>
      </w:r>
      <w:r w:rsidR="00EC192A">
        <w:rPr>
          <w:rFonts w:ascii="Book Antiqua" w:hAnsi="Book Antiqua"/>
        </w:rPr>
        <w:t xml:space="preserve">Excel had repudiated </w:t>
      </w:r>
      <w:r w:rsidR="00AE6AF8" w:rsidRPr="00DA04EE">
        <w:rPr>
          <w:rFonts w:ascii="Book Antiqua" w:hAnsi="Book Antiqua"/>
        </w:rPr>
        <w:t xml:space="preserve">the Licence Agreement and, </w:t>
      </w:r>
      <w:r w:rsidR="00EC192A">
        <w:rPr>
          <w:rFonts w:ascii="Book Antiqua" w:hAnsi="Book Antiqua"/>
        </w:rPr>
        <w:t>in consequence, accepted that the Licence Agreement had always been and remained in force. Accordingly it no lon</w:t>
      </w:r>
      <w:r w:rsidR="008046C6">
        <w:rPr>
          <w:rFonts w:ascii="Book Antiqua" w:hAnsi="Book Antiqua"/>
        </w:rPr>
        <w:t>g</w:t>
      </w:r>
      <w:r w:rsidR="00EC192A">
        <w:rPr>
          <w:rFonts w:ascii="Book Antiqua" w:hAnsi="Book Antiqua"/>
        </w:rPr>
        <w:t>er seeks this declaration</w:t>
      </w:r>
      <w:r w:rsidR="00335716" w:rsidRPr="00DA04EE">
        <w:rPr>
          <w:rFonts w:ascii="Book Antiqua" w:hAnsi="Book Antiqua"/>
        </w:rPr>
        <w:t>;</w:t>
      </w:r>
    </w:p>
    <w:p w14:paraId="3B0CC0CD" w14:textId="11CBC7CB" w:rsidR="00130358" w:rsidRPr="00DA04EE" w:rsidRDefault="00EC192A" w:rsidP="009E4653">
      <w:pPr>
        <w:pStyle w:val="ParaLevel2"/>
        <w:rPr>
          <w:rFonts w:ascii="Book Antiqua" w:hAnsi="Book Antiqua"/>
        </w:rPr>
      </w:pPr>
      <w:r w:rsidRPr="008046C6">
        <w:rPr>
          <w:rFonts w:ascii="Book Antiqua" w:hAnsi="Book Antiqua"/>
          <w:b/>
        </w:rPr>
        <w:t>A</w:t>
      </w:r>
      <w:r w:rsidR="00AE6AF8" w:rsidRPr="008046C6">
        <w:rPr>
          <w:rFonts w:ascii="Book Antiqua" w:hAnsi="Book Antiqua"/>
          <w:b/>
        </w:rPr>
        <w:t xml:space="preserve"> declaration that the Licence Agreement was not enforceable absent a valid patent</w:t>
      </w:r>
      <w:r w:rsidR="00AE6AF8" w:rsidRPr="00DA04EE">
        <w:rPr>
          <w:rFonts w:ascii="Book Antiqua" w:hAnsi="Book Antiqua"/>
        </w:rPr>
        <w:t xml:space="preserve">. However, Source abandoned this </w:t>
      </w:r>
      <w:r w:rsidR="008046C6">
        <w:rPr>
          <w:rFonts w:ascii="Book Antiqua" w:hAnsi="Book Antiqua"/>
        </w:rPr>
        <w:t xml:space="preserve">aspect of the counterclaim </w:t>
      </w:r>
      <w:r w:rsidR="00AE6AF8" w:rsidRPr="00DA04EE">
        <w:rPr>
          <w:rFonts w:ascii="Book Antiqua" w:hAnsi="Book Antiqua"/>
        </w:rPr>
        <w:t>after service of the Re-Amended Defence and Counterclaim</w:t>
      </w:r>
      <w:r w:rsidR="006B1CF1">
        <w:rPr>
          <w:rFonts w:ascii="Book Antiqua" w:hAnsi="Book Antiqua"/>
        </w:rPr>
        <w:t xml:space="preserve"> and so no longer seeks this declaration</w:t>
      </w:r>
      <w:r w:rsidR="00C53655">
        <w:rPr>
          <w:rFonts w:ascii="Book Antiqua" w:hAnsi="Book Antiqua"/>
        </w:rPr>
        <w:t>;</w:t>
      </w:r>
    </w:p>
    <w:p w14:paraId="0C6196D1" w14:textId="10F681D4" w:rsidR="00AB32F8" w:rsidRPr="00DA04EE" w:rsidRDefault="00AB32F8" w:rsidP="009E4653">
      <w:pPr>
        <w:pStyle w:val="ParaLevel2"/>
        <w:rPr>
          <w:rFonts w:ascii="Book Antiqua" w:hAnsi="Book Antiqua"/>
        </w:rPr>
      </w:pPr>
      <w:r w:rsidRPr="008046C6">
        <w:rPr>
          <w:rFonts w:ascii="Book Antiqua" w:hAnsi="Book Antiqua"/>
          <w:b/>
        </w:rPr>
        <w:t>A declaration of no</w:t>
      </w:r>
      <w:r w:rsidR="00413300">
        <w:rPr>
          <w:rFonts w:ascii="Book Antiqua" w:hAnsi="Book Antiqua"/>
          <w:b/>
        </w:rPr>
        <w:t>n-infringement of GB’116 and GB</w:t>
      </w:r>
      <w:r w:rsidRPr="008046C6">
        <w:rPr>
          <w:rFonts w:ascii="Book Antiqua" w:hAnsi="Book Antiqua"/>
          <w:b/>
        </w:rPr>
        <w:t>‘562 by the 2017 Bag</w:t>
      </w:r>
      <w:r w:rsidR="006B1CF1">
        <w:rPr>
          <w:rFonts w:ascii="Book Antiqua" w:hAnsi="Book Antiqua"/>
        </w:rPr>
        <w:t>. This remains in issue</w:t>
      </w:r>
      <w:r w:rsidR="00AE6AF8" w:rsidRPr="00DA04EE">
        <w:rPr>
          <w:rFonts w:ascii="Book Antiqua" w:hAnsi="Book Antiqua"/>
        </w:rPr>
        <w:t>;</w:t>
      </w:r>
    </w:p>
    <w:p w14:paraId="233EF467" w14:textId="1CE836E3" w:rsidR="00AE6AF8" w:rsidRPr="00DA04EE" w:rsidRDefault="00AE6AF8" w:rsidP="009E4653">
      <w:pPr>
        <w:pStyle w:val="ParaLevel2"/>
        <w:rPr>
          <w:rFonts w:ascii="Book Antiqua" w:hAnsi="Book Antiqua"/>
        </w:rPr>
      </w:pPr>
      <w:r w:rsidRPr="008046C6">
        <w:rPr>
          <w:rFonts w:ascii="Book Antiqua" w:hAnsi="Book Antiqua"/>
          <w:b/>
        </w:rPr>
        <w:t xml:space="preserve">A declaration that the 2017 Bag is not </w:t>
      </w:r>
      <w:r w:rsidR="00EC192A" w:rsidRPr="008046C6">
        <w:rPr>
          <w:rFonts w:ascii="Book Antiqua" w:hAnsi="Book Antiqua"/>
          <w:b/>
        </w:rPr>
        <w:t>royalty bearing</w:t>
      </w:r>
      <w:r w:rsidR="005239EA" w:rsidRPr="008046C6">
        <w:rPr>
          <w:rFonts w:ascii="Book Antiqua" w:hAnsi="Book Antiqua"/>
          <w:b/>
        </w:rPr>
        <w:t>.</w:t>
      </w:r>
      <w:r w:rsidR="005239EA" w:rsidRPr="00DA04EE">
        <w:rPr>
          <w:rFonts w:ascii="Book Antiqua" w:hAnsi="Book Antiqua"/>
        </w:rPr>
        <w:t xml:space="preserve"> Source’s original case </w:t>
      </w:r>
      <w:r w:rsidR="00EC192A">
        <w:rPr>
          <w:rFonts w:ascii="Book Antiqua" w:hAnsi="Book Antiqua"/>
        </w:rPr>
        <w:t xml:space="preserve">on this point </w:t>
      </w:r>
      <w:r w:rsidR="005239EA" w:rsidRPr="00DA04EE">
        <w:rPr>
          <w:rFonts w:ascii="Book Antiqua" w:hAnsi="Book Antiqua"/>
        </w:rPr>
        <w:t xml:space="preserve">was that </w:t>
      </w:r>
      <w:r w:rsidRPr="00DA04EE">
        <w:rPr>
          <w:rFonts w:ascii="Book Antiqua" w:hAnsi="Book Antiqua"/>
        </w:rPr>
        <w:t>only variants that fall within the footprint of GB’116</w:t>
      </w:r>
      <w:r w:rsidR="00EC192A">
        <w:rPr>
          <w:rFonts w:ascii="Book Antiqua" w:hAnsi="Book Antiqua"/>
        </w:rPr>
        <w:t xml:space="preserve"> are royalty bearing</w:t>
      </w:r>
      <w:r w:rsidRPr="00DA04EE">
        <w:rPr>
          <w:rFonts w:ascii="Book Antiqua" w:hAnsi="Book Antiqua"/>
        </w:rPr>
        <w:t xml:space="preserve">, and </w:t>
      </w:r>
      <w:r w:rsidR="005239EA" w:rsidRPr="00DA04EE">
        <w:rPr>
          <w:rFonts w:ascii="Book Antiqua" w:hAnsi="Book Antiqua"/>
        </w:rPr>
        <w:t xml:space="preserve">its case is that </w:t>
      </w:r>
      <w:r w:rsidRPr="00DA04EE">
        <w:rPr>
          <w:rFonts w:ascii="Book Antiqua" w:hAnsi="Book Antiqua"/>
        </w:rPr>
        <w:t xml:space="preserve">the 2017 Bag </w:t>
      </w:r>
      <w:r w:rsidR="00EC192A">
        <w:rPr>
          <w:rFonts w:ascii="Book Antiqua" w:hAnsi="Book Antiqua"/>
        </w:rPr>
        <w:t>does not infringe GB’116</w:t>
      </w:r>
      <w:r w:rsidR="00121A2B" w:rsidRPr="00DA04EE">
        <w:rPr>
          <w:rFonts w:ascii="Book Antiqua" w:hAnsi="Book Antiqua"/>
        </w:rPr>
        <w:t xml:space="preserve">. However, at trial, Source accepted that as a point of contractual interpretation it is possible for the 2017 Bag </w:t>
      </w:r>
      <w:r w:rsidR="00EC192A">
        <w:rPr>
          <w:rFonts w:ascii="Book Antiqua" w:hAnsi="Book Antiqua"/>
        </w:rPr>
        <w:t xml:space="preserve">to be royalty bearing </w:t>
      </w:r>
      <w:r w:rsidR="00121A2B" w:rsidRPr="00DA04EE">
        <w:rPr>
          <w:rFonts w:ascii="Book Antiqua" w:hAnsi="Book Antiqua"/>
        </w:rPr>
        <w:t>pursuant to the Licence Agreement, even if it does not fall within the footprint of patent GB’116.</w:t>
      </w:r>
      <w:r w:rsidR="006B1CF1">
        <w:rPr>
          <w:rFonts w:ascii="Book Antiqua" w:hAnsi="Book Antiqua"/>
        </w:rPr>
        <w:t xml:space="preserve"> Source’s case that the 2017 </w:t>
      </w:r>
      <w:r w:rsidR="00C53655">
        <w:rPr>
          <w:rFonts w:ascii="Book Antiqua" w:hAnsi="Book Antiqua"/>
        </w:rPr>
        <w:t xml:space="preserve">Bag is </w:t>
      </w:r>
      <w:r w:rsidR="006B1CF1">
        <w:rPr>
          <w:rFonts w:ascii="Book Antiqua" w:hAnsi="Book Antiqua"/>
        </w:rPr>
        <w:t xml:space="preserve">nonetheless </w:t>
      </w:r>
      <w:r w:rsidR="00B3272E">
        <w:rPr>
          <w:rFonts w:ascii="Book Antiqua" w:hAnsi="Book Antiqua"/>
        </w:rPr>
        <w:t xml:space="preserve">not </w:t>
      </w:r>
      <w:r w:rsidR="006B1CF1">
        <w:rPr>
          <w:rFonts w:ascii="Book Antiqua" w:hAnsi="Book Antiqua"/>
        </w:rPr>
        <w:t xml:space="preserve">royalty </w:t>
      </w:r>
      <w:r w:rsidR="00C53655">
        <w:rPr>
          <w:rFonts w:ascii="Book Antiqua" w:hAnsi="Book Antiqua"/>
        </w:rPr>
        <w:t>bearing</w:t>
      </w:r>
      <w:r w:rsidR="006B1CF1">
        <w:rPr>
          <w:rFonts w:ascii="Book Antiqua" w:hAnsi="Book Antiqua"/>
        </w:rPr>
        <w:t xml:space="preserve"> remains in issue.</w:t>
      </w:r>
    </w:p>
    <w:p w14:paraId="3FB4300C" w14:textId="4209A6D8" w:rsidR="00335716" w:rsidRPr="00DA04EE" w:rsidRDefault="00FF08C4" w:rsidP="009E4653">
      <w:pPr>
        <w:pStyle w:val="ParaLevel1"/>
        <w:rPr>
          <w:rFonts w:ascii="Book Antiqua" w:hAnsi="Book Antiqua"/>
        </w:rPr>
      </w:pPr>
      <w:r w:rsidRPr="00DA04EE">
        <w:rPr>
          <w:rFonts w:ascii="Book Antiqua" w:hAnsi="Book Antiqua"/>
        </w:rPr>
        <w:t xml:space="preserve">In the </w:t>
      </w:r>
      <w:r w:rsidR="005239EA" w:rsidRPr="00DA04EE">
        <w:rPr>
          <w:rFonts w:ascii="Book Antiqua" w:hAnsi="Book Antiqua"/>
        </w:rPr>
        <w:t>Re-Amended Reply and Defence to C</w:t>
      </w:r>
      <w:r w:rsidRPr="00DA04EE">
        <w:rPr>
          <w:rFonts w:ascii="Book Antiqua" w:hAnsi="Book Antiqua"/>
        </w:rPr>
        <w:t>ounterclaim, Excel</w:t>
      </w:r>
      <w:r w:rsidR="00335716" w:rsidRPr="00DA04EE">
        <w:rPr>
          <w:rFonts w:ascii="Book Antiqua" w:hAnsi="Book Antiqua"/>
        </w:rPr>
        <w:t>:</w:t>
      </w:r>
    </w:p>
    <w:p w14:paraId="78DA3867" w14:textId="2242802D" w:rsidR="00FF08C4" w:rsidRPr="00DA04EE" w:rsidRDefault="009A4306" w:rsidP="009E4653">
      <w:pPr>
        <w:pStyle w:val="ParaLevel2"/>
        <w:rPr>
          <w:rFonts w:ascii="Book Antiqua" w:hAnsi="Book Antiqua"/>
        </w:rPr>
      </w:pPr>
      <w:r w:rsidRPr="00DA04EE">
        <w:rPr>
          <w:rFonts w:ascii="Book Antiqua" w:hAnsi="Book Antiqua"/>
        </w:rPr>
        <w:t>A</w:t>
      </w:r>
      <w:r w:rsidR="00AB32F8" w:rsidRPr="00DA04EE">
        <w:rPr>
          <w:rFonts w:ascii="Book Antiqua" w:hAnsi="Book Antiqua"/>
        </w:rPr>
        <w:t>dmits that the 20</w:t>
      </w:r>
      <w:r w:rsidR="00FF08C4" w:rsidRPr="00DA04EE">
        <w:rPr>
          <w:rFonts w:ascii="Book Antiqua" w:hAnsi="Book Antiqua"/>
        </w:rPr>
        <w:t>17 Bag does not infringe GB’562;</w:t>
      </w:r>
    </w:p>
    <w:p w14:paraId="688310CB" w14:textId="79B61B93" w:rsidR="00AB32F8" w:rsidRPr="00DA04EE" w:rsidRDefault="009A4306" w:rsidP="009E4653">
      <w:pPr>
        <w:pStyle w:val="ParaLevel2"/>
        <w:rPr>
          <w:rFonts w:ascii="Book Antiqua" w:hAnsi="Book Antiqua"/>
        </w:rPr>
      </w:pPr>
      <w:r w:rsidRPr="00DA04EE">
        <w:rPr>
          <w:rFonts w:ascii="Book Antiqua" w:hAnsi="Book Antiqua"/>
        </w:rPr>
        <w:t>M</w:t>
      </w:r>
      <w:r w:rsidR="00AB32F8" w:rsidRPr="00DA04EE">
        <w:rPr>
          <w:rFonts w:ascii="Book Antiqua" w:hAnsi="Book Antiqua"/>
        </w:rPr>
        <w:t>aintains that the 2017 Bag is an improvement or alteration of the “Licensed Products” under clauses 3.3 and/or 5 of the Licence Agreement</w:t>
      </w:r>
      <w:r w:rsidR="00335716" w:rsidRPr="00DA04EE">
        <w:rPr>
          <w:rFonts w:ascii="Book Antiqua" w:hAnsi="Book Antiqua"/>
        </w:rPr>
        <w:t xml:space="preserve">, such as to be </w:t>
      </w:r>
      <w:r w:rsidR="00C53655" w:rsidRPr="00DA04EE">
        <w:rPr>
          <w:rFonts w:ascii="Book Antiqua" w:hAnsi="Book Antiqua"/>
        </w:rPr>
        <w:t>royalty bearing</w:t>
      </w:r>
      <w:r w:rsidRPr="00DA04EE">
        <w:rPr>
          <w:rFonts w:ascii="Book Antiqua" w:hAnsi="Book Antiqua"/>
        </w:rPr>
        <w:t>.</w:t>
      </w:r>
    </w:p>
    <w:p w14:paraId="363331C5" w14:textId="0F7D8B9D" w:rsidR="00B91E4A" w:rsidRPr="00DA04EE" w:rsidRDefault="00121A2B" w:rsidP="009E4653">
      <w:pPr>
        <w:pStyle w:val="ParaLevel1"/>
        <w:rPr>
          <w:rFonts w:ascii="Book Antiqua" w:hAnsi="Book Antiqua"/>
        </w:rPr>
      </w:pPr>
      <w:r w:rsidRPr="00DA04EE">
        <w:rPr>
          <w:rFonts w:ascii="Book Antiqua" w:hAnsi="Book Antiqua"/>
        </w:rPr>
        <w:t>While these proceedings were afoot,</w:t>
      </w:r>
      <w:r w:rsidR="00FF08C4" w:rsidRPr="00DA04EE">
        <w:rPr>
          <w:rFonts w:ascii="Book Antiqua" w:hAnsi="Book Antiqua"/>
        </w:rPr>
        <w:t xml:space="preserve"> in</w:t>
      </w:r>
      <w:r w:rsidR="00B91E4A" w:rsidRPr="00DA04EE">
        <w:rPr>
          <w:rFonts w:ascii="Book Antiqua" w:hAnsi="Book Antiqua"/>
        </w:rPr>
        <w:t xml:space="preserve"> February 2018 Source commenced revocation proceedings in the UKIPO against </w:t>
      </w:r>
      <w:r w:rsidR="00466753" w:rsidRPr="00DA04EE">
        <w:rPr>
          <w:rFonts w:ascii="Book Antiqua" w:hAnsi="Book Antiqua"/>
        </w:rPr>
        <w:t xml:space="preserve">both patents, </w:t>
      </w:r>
      <w:r w:rsidR="00B91E4A" w:rsidRPr="00DA04EE">
        <w:rPr>
          <w:rFonts w:ascii="Book Antiqua" w:hAnsi="Book Antiqua"/>
        </w:rPr>
        <w:t xml:space="preserve">GB’116 and GB’562. </w:t>
      </w:r>
      <w:r w:rsidR="00B3272E">
        <w:rPr>
          <w:rFonts w:ascii="Book Antiqua" w:hAnsi="Book Antiqua"/>
        </w:rPr>
        <w:t xml:space="preserve">In response to the IPO’s </w:t>
      </w:r>
      <w:r w:rsidR="00B91E4A" w:rsidRPr="00DA04EE">
        <w:rPr>
          <w:rFonts w:ascii="Book Antiqua" w:hAnsi="Book Antiqua"/>
        </w:rPr>
        <w:t xml:space="preserve">preliminary indication of invalidity of GB’116 on 16 November 2018, Excel applied unconditionally to </w:t>
      </w:r>
      <w:r w:rsidR="00C07496" w:rsidRPr="00DA04EE">
        <w:rPr>
          <w:rFonts w:ascii="Book Antiqua" w:hAnsi="Book Antiqua"/>
        </w:rPr>
        <w:t>amend the claim</w:t>
      </w:r>
      <w:r w:rsidR="00F821B0">
        <w:rPr>
          <w:rFonts w:ascii="Book Antiqua" w:hAnsi="Book Antiqua"/>
        </w:rPr>
        <w:t>s</w:t>
      </w:r>
      <w:r w:rsidR="00683EF5" w:rsidRPr="00DA04EE">
        <w:rPr>
          <w:rFonts w:ascii="Book Antiqua" w:hAnsi="Book Antiqua"/>
        </w:rPr>
        <w:t xml:space="preserve"> of GB’116. </w:t>
      </w:r>
      <w:r w:rsidR="00B91E4A" w:rsidRPr="00DA04EE">
        <w:rPr>
          <w:rFonts w:ascii="Book Antiqua" w:hAnsi="Book Antiqua"/>
        </w:rPr>
        <w:t xml:space="preserve">The parties agree that validity </w:t>
      </w:r>
      <w:r w:rsidR="00683EF5" w:rsidRPr="00DA04EE">
        <w:rPr>
          <w:rFonts w:ascii="Book Antiqua" w:hAnsi="Book Antiqua"/>
        </w:rPr>
        <w:t xml:space="preserve">of the patents </w:t>
      </w:r>
      <w:r w:rsidR="00B91E4A" w:rsidRPr="00DA04EE">
        <w:rPr>
          <w:rFonts w:ascii="Book Antiqua" w:hAnsi="Book Antiqua"/>
        </w:rPr>
        <w:t xml:space="preserve">is not in issue in these proceedings, being a matter for the </w:t>
      </w:r>
      <w:r w:rsidR="00C53655" w:rsidRPr="00DA04EE">
        <w:rPr>
          <w:rFonts w:ascii="Book Antiqua" w:hAnsi="Book Antiqua"/>
        </w:rPr>
        <w:t>freestanding</w:t>
      </w:r>
      <w:r w:rsidR="00683EF5" w:rsidRPr="00DA04EE">
        <w:rPr>
          <w:rFonts w:ascii="Book Antiqua" w:hAnsi="Book Antiqua"/>
        </w:rPr>
        <w:t xml:space="preserve"> applications in the UKIPO. However, </w:t>
      </w:r>
      <w:r w:rsidR="00B91E4A" w:rsidRPr="00DA04EE">
        <w:rPr>
          <w:rFonts w:ascii="Book Antiqua" w:hAnsi="Book Antiqua"/>
        </w:rPr>
        <w:t xml:space="preserve">they would like this Court to determine the non-infringement issue as against </w:t>
      </w:r>
      <w:r w:rsidR="00C07496" w:rsidRPr="00DA04EE">
        <w:rPr>
          <w:rFonts w:ascii="Book Antiqua" w:hAnsi="Book Antiqua"/>
        </w:rPr>
        <w:t>the amended claim</w:t>
      </w:r>
      <w:r w:rsidR="00F821B0">
        <w:rPr>
          <w:rFonts w:ascii="Book Antiqua" w:hAnsi="Book Antiqua"/>
        </w:rPr>
        <w:t>s</w:t>
      </w:r>
      <w:r w:rsidR="00683EF5" w:rsidRPr="00DA04EE">
        <w:rPr>
          <w:rFonts w:ascii="Book Antiqua" w:hAnsi="Book Antiqua"/>
        </w:rPr>
        <w:t xml:space="preserve"> in GB’116</w:t>
      </w:r>
      <w:r w:rsidRPr="00DA04EE">
        <w:rPr>
          <w:rFonts w:ascii="Book Antiqua" w:hAnsi="Book Antiqua"/>
        </w:rPr>
        <w:t>, and in doing so, for the purposes of that determination only, assume the validity of GB’116</w:t>
      </w:r>
      <w:r w:rsidR="00B91E4A" w:rsidRPr="00DA04EE">
        <w:rPr>
          <w:rFonts w:ascii="Book Antiqua" w:hAnsi="Book Antiqua"/>
        </w:rPr>
        <w:t>.</w:t>
      </w:r>
    </w:p>
    <w:p w14:paraId="1433AB00" w14:textId="1D33DF11" w:rsidR="009A4306" w:rsidRPr="00DA04EE" w:rsidRDefault="009A4306" w:rsidP="009E4653">
      <w:pPr>
        <w:pStyle w:val="ParaLevel1"/>
        <w:numPr>
          <w:ilvl w:val="0"/>
          <w:numId w:val="0"/>
        </w:numPr>
        <w:ind w:left="142"/>
        <w:rPr>
          <w:rFonts w:ascii="Book Antiqua" w:hAnsi="Book Antiqua"/>
          <w:b/>
        </w:rPr>
      </w:pPr>
      <w:r w:rsidRPr="00DA04EE">
        <w:rPr>
          <w:rFonts w:ascii="Book Antiqua" w:hAnsi="Book Antiqua"/>
          <w:b/>
        </w:rPr>
        <w:t>ISSUES</w:t>
      </w:r>
    </w:p>
    <w:p w14:paraId="48F547DE" w14:textId="53F784F1" w:rsidR="00A638DB" w:rsidRPr="00DA04EE" w:rsidRDefault="00A638DB" w:rsidP="009E4653">
      <w:pPr>
        <w:pStyle w:val="ParaLevel1"/>
        <w:rPr>
          <w:rFonts w:ascii="Book Antiqua" w:hAnsi="Book Antiqua"/>
        </w:rPr>
      </w:pPr>
      <w:r w:rsidRPr="00DA04EE">
        <w:rPr>
          <w:rFonts w:ascii="Book Antiqua" w:hAnsi="Book Antiqua"/>
        </w:rPr>
        <w:t>The</w:t>
      </w:r>
      <w:r w:rsidR="00F821B0">
        <w:rPr>
          <w:rFonts w:ascii="Book Antiqua" w:hAnsi="Book Antiqua"/>
        </w:rPr>
        <w:t xml:space="preserve"> parties agree that the</w:t>
      </w:r>
      <w:r w:rsidRPr="00DA04EE">
        <w:rPr>
          <w:rFonts w:ascii="Book Antiqua" w:hAnsi="Book Antiqua"/>
        </w:rPr>
        <w:t xml:space="preserve"> issues which remain to be determined</w:t>
      </w:r>
      <w:r w:rsidR="001556A6" w:rsidRPr="00DA04EE">
        <w:rPr>
          <w:rFonts w:ascii="Book Antiqua" w:hAnsi="Book Antiqua"/>
        </w:rPr>
        <w:t xml:space="preserve"> by this Court</w:t>
      </w:r>
      <w:r w:rsidRPr="00DA04EE">
        <w:rPr>
          <w:rFonts w:ascii="Book Antiqua" w:hAnsi="Book Antiqua"/>
        </w:rPr>
        <w:t xml:space="preserve"> are:</w:t>
      </w:r>
    </w:p>
    <w:p w14:paraId="68AE77C8" w14:textId="6DFB08EC" w:rsidR="00FF49E2" w:rsidRPr="00BB4409" w:rsidRDefault="00611377" w:rsidP="009E4653">
      <w:pPr>
        <w:pStyle w:val="ParaLevel2"/>
        <w:rPr>
          <w:rFonts w:ascii="Book Antiqua" w:hAnsi="Book Antiqua"/>
        </w:rPr>
      </w:pPr>
      <w:r w:rsidRPr="00BB4409">
        <w:rPr>
          <w:rFonts w:ascii="Book Antiqua" w:hAnsi="Book Antiqua"/>
        </w:rPr>
        <w:t>w</w:t>
      </w:r>
      <w:r w:rsidR="00A638DB" w:rsidRPr="00BB4409">
        <w:rPr>
          <w:rFonts w:ascii="Book Antiqua" w:hAnsi="Book Antiqua"/>
        </w:rPr>
        <w:t xml:space="preserve">hether Source is entitled to a declaration that the 2017 Bag does not infringe </w:t>
      </w:r>
      <w:r w:rsidR="00C07496" w:rsidRPr="00BB4409">
        <w:rPr>
          <w:rFonts w:ascii="Book Antiqua" w:hAnsi="Book Antiqua"/>
        </w:rPr>
        <w:t xml:space="preserve">the amended claim in </w:t>
      </w:r>
      <w:r w:rsidR="00A638DB" w:rsidRPr="00BB4409">
        <w:rPr>
          <w:rFonts w:ascii="Book Antiqua" w:hAnsi="Book Antiqua"/>
        </w:rPr>
        <w:t>GB’116</w:t>
      </w:r>
      <w:r w:rsidR="00F821B0" w:rsidRPr="00BB4409">
        <w:rPr>
          <w:rFonts w:ascii="Book Antiqua" w:hAnsi="Book Antiqua"/>
        </w:rPr>
        <w:t>;</w:t>
      </w:r>
      <w:r w:rsidR="00A638DB" w:rsidRPr="00BB4409">
        <w:rPr>
          <w:rFonts w:ascii="Book Antiqua" w:hAnsi="Book Antiqua"/>
        </w:rPr>
        <w:t xml:space="preserve"> </w:t>
      </w:r>
    </w:p>
    <w:p w14:paraId="1D5EB550" w14:textId="3EBB571D" w:rsidR="00F821B0" w:rsidRPr="00BB4409" w:rsidRDefault="00611377" w:rsidP="009E4653">
      <w:pPr>
        <w:pStyle w:val="ParaLevel2"/>
        <w:rPr>
          <w:rFonts w:ascii="Book Antiqua" w:hAnsi="Book Antiqua"/>
        </w:rPr>
      </w:pPr>
      <w:r w:rsidRPr="00BB4409">
        <w:rPr>
          <w:rFonts w:ascii="Book Antiqua" w:hAnsi="Book Antiqua"/>
        </w:rPr>
        <w:t>w</w:t>
      </w:r>
      <w:r w:rsidR="00F821B0" w:rsidRPr="00BB4409">
        <w:rPr>
          <w:rFonts w:ascii="Book Antiqua" w:hAnsi="Book Antiqua"/>
        </w:rPr>
        <w:t xml:space="preserve">hether or not the 2017 Bag is royalty bearing under the Licence Agreement; </w:t>
      </w:r>
      <w:r w:rsidR="006B1CF1" w:rsidRPr="00BB4409">
        <w:rPr>
          <w:rFonts w:ascii="Book Antiqua" w:hAnsi="Book Antiqua"/>
        </w:rPr>
        <w:t>and</w:t>
      </w:r>
    </w:p>
    <w:p w14:paraId="7B9C294F" w14:textId="3045DBCF" w:rsidR="009A4306" w:rsidRPr="00BB4409" w:rsidRDefault="00611377" w:rsidP="009E4653">
      <w:pPr>
        <w:pStyle w:val="ParaLevel2"/>
        <w:rPr>
          <w:rFonts w:ascii="Book Antiqua" w:hAnsi="Book Antiqua"/>
        </w:rPr>
      </w:pPr>
      <w:r w:rsidRPr="00BB4409">
        <w:rPr>
          <w:rFonts w:ascii="Book Antiqua" w:hAnsi="Book Antiqua"/>
        </w:rPr>
        <w:t>w</w:t>
      </w:r>
      <w:r w:rsidR="009A4306" w:rsidRPr="00BB4409">
        <w:rPr>
          <w:rFonts w:ascii="Book Antiqua" w:hAnsi="Book Antiqua"/>
        </w:rPr>
        <w:t>hether Excel is entitled to an inquiry as to damages</w:t>
      </w:r>
      <w:r w:rsidR="006B1CF1" w:rsidRPr="00BB4409">
        <w:rPr>
          <w:rFonts w:ascii="Book Antiqua" w:hAnsi="Book Antiqua"/>
        </w:rPr>
        <w:t>.</w:t>
      </w:r>
    </w:p>
    <w:p w14:paraId="1C6AD237" w14:textId="60F322DA" w:rsidR="00611377" w:rsidRPr="006B1CF1" w:rsidRDefault="00BB4409" w:rsidP="009E4653">
      <w:pPr>
        <w:pStyle w:val="ParaLevel1"/>
        <w:rPr>
          <w:rFonts w:ascii="Book Antiqua" w:hAnsi="Book Antiqua"/>
          <w:szCs w:val="24"/>
        </w:rPr>
      </w:pPr>
      <w:r>
        <w:rPr>
          <w:rFonts w:ascii="Book Antiqua" w:hAnsi="Book Antiqua"/>
          <w:szCs w:val="24"/>
        </w:rPr>
        <w:t xml:space="preserve">It is common ground that </w:t>
      </w:r>
      <w:r w:rsidR="00611377" w:rsidRPr="00611377">
        <w:rPr>
          <w:rFonts w:ascii="Book Antiqua" w:hAnsi="Book Antiqua"/>
          <w:szCs w:val="24"/>
        </w:rPr>
        <w:t xml:space="preserve">Source bears the burden of proof in respect of the first issue as it seeks a </w:t>
      </w:r>
      <w:r>
        <w:rPr>
          <w:rFonts w:ascii="Book Antiqua" w:hAnsi="Book Antiqua"/>
          <w:szCs w:val="24"/>
        </w:rPr>
        <w:t>declaration of non-infringement, and</w:t>
      </w:r>
      <w:r w:rsidR="00611377" w:rsidRPr="00611377">
        <w:rPr>
          <w:rFonts w:ascii="Book Antiqua" w:hAnsi="Book Antiqua"/>
          <w:szCs w:val="24"/>
        </w:rPr>
        <w:t xml:space="preserve"> Excel bears the burden of proof in </w:t>
      </w:r>
      <w:r w:rsidR="00611377" w:rsidRPr="006B1CF1">
        <w:rPr>
          <w:rFonts w:ascii="Book Antiqua" w:hAnsi="Book Antiqua"/>
          <w:szCs w:val="24"/>
        </w:rPr>
        <w:t>respect of issues 2</w:t>
      </w:r>
      <w:r w:rsidR="006B1CF1" w:rsidRPr="006B1CF1">
        <w:rPr>
          <w:rFonts w:ascii="Book Antiqua" w:hAnsi="Book Antiqua"/>
          <w:szCs w:val="24"/>
        </w:rPr>
        <w:t xml:space="preserve"> and 3</w:t>
      </w:r>
      <w:r w:rsidR="00611377" w:rsidRPr="006B1CF1">
        <w:rPr>
          <w:rFonts w:ascii="Book Antiqua" w:hAnsi="Book Antiqua"/>
          <w:szCs w:val="24"/>
        </w:rPr>
        <w:t>. The civil standard applies.</w:t>
      </w:r>
    </w:p>
    <w:p w14:paraId="27856E90" w14:textId="1372F89F" w:rsidR="006B1CF1" w:rsidRPr="006B1CF1" w:rsidRDefault="006B1CF1" w:rsidP="009E4653">
      <w:pPr>
        <w:pStyle w:val="ParaLevel1"/>
        <w:rPr>
          <w:rFonts w:ascii="Book Antiqua" w:hAnsi="Book Antiqua"/>
        </w:rPr>
      </w:pPr>
      <w:r w:rsidRPr="006B1CF1">
        <w:rPr>
          <w:rFonts w:ascii="Book Antiqua" w:hAnsi="Book Antiqua"/>
          <w:szCs w:val="24"/>
        </w:rPr>
        <w:t xml:space="preserve">Should it transpire that Excel is, ultimately, the successful party in these proceedings, it gives advance notice of a </w:t>
      </w:r>
      <w:r>
        <w:rPr>
          <w:rFonts w:ascii="Book Antiqua" w:hAnsi="Book Antiqua"/>
          <w:szCs w:val="24"/>
        </w:rPr>
        <w:t>fourth</w:t>
      </w:r>
      <w:r w:rsidRPr="006B1CF1">
        <w:rPr>
          <w:rFonts w:ascii="Book Antiqua" w:hAnsi="Book Antiqua"/>
          <w:szCs w:val="24"/>
        </w:rPr>
        <w:t xml:space="preserve"> issue, namely: </w:t>
      </w:r>
      <w:r w:rsidRPr="00BB4409">
        <w:rPr>
          <w:rFonts w:ascii="Book Antiqua" w:hAnsi="Book Antiqua"/>
        </w:rPr>
        <w:t>Whether and to what extent Excel can recover the costs of this action and the UKIPO proceedings under the contractual indemnity contained in Clause 10.2 of the Licence Agreement</w:t>
      </w:r>
      <w:r w:rsidR="00BB4409">
        <w:rPr>
          <w:rFonts w:ascii="Book Antiqua" w:hAnsi="Book Antiqua"/>
        </w:rPr>
        <w:t>.</w:t>
      </w:r>
    </w:p>
    <w:p w14:paraId="4FEACAB0" w14:textId="4F245E4B" w:rsidR="009A4306" w:rsidRPr="00DA04EE" w:rsidRDefault="009A4306" w:rsidP="009E4653">
      <w:pPr>
        <w:pStyle w:val="ParaLevel1"/>
        <w:numPr>
          <w:ilvl w:val="0"/>
          <w:numId w:val="0"/>
        </w:numPr>
        <w:ind w:left="862" w:hanging="720"/>
        <w:rPr>
          <w:rFonts w:ascii="Book Antiqua" w:hAnsi="Book Antiqua"/>
          <w:b/>
        </w:rPr>
      </w:pPr>
      <w:r w:rsidRPr="00DA04EE">
        <w:rPr>
          <w:rFonts w:ascii="Book Antiqua" w:hAnsi="Book Antiqua"/>
          <w:b/>
        </w:rPr>
        <w:t>WITNESSES</w:t>
      </w:r>
    </w:p>
    <w:p w14:paraId="77E5D01B" w14:textId="77777777" w:rsidR="009A4306" w:rsidRPr="00DA04EE" w:rsidRDefault="009A4306" w:rsidP="009E4653">
      <w:pPr>
        <w:pStyle w:val="ParaLevel1"/>
        <w:rPr>
          <w:rFonts w:ascii="Book Antiqua" w:hAnsi="Book Antiqua"/>
        </w:rPr>
      </w:pPr>
      <w:r w:rsidRPr="00DA04EE">
        <w:rPr>
          <w:rFonts w:ascii="Book Antiqua" w:hAnsi="Book Antiqua"/>
        </w:rPr>
        <w:t>The Claimant’s witnesses are:</w:t>
      </w:r>
    </w:p>
    <w:p w14:paraId="0B11A085" w14:textId="733A3459" w:rsidR="009A4306" w:rsidRPr="00DA04EE" w:rsidRDefault="009A4306" w:rsidP="009E4653">
      <w:pPr>
        <w:pStyle w:val="ParaLevel2"/>
        <w:rPr>
          <w:rFonts w:ascii="Book Antiqua" w:hAnsi="Book Antiqua"/>
        </w:rPr>
      </w:pPr>
      <w:r w:rsidRPr="00DA04EE">
        <w:rPr>
          <w:rFonts w:ascii="Book Antiqua" w:hAnsi="Book Antiqua"/>
        </w:rPr>
        <w:t>Mr Robert Maclean</w:t>
      </w:r>
      <w:r w:rsidR="00C802F7" w:rsidRPr="00DA04EE">
        <w:rPr>
          <w:rFonts w:ascii="Book Antiqua" w:hAnsi="Book Antiqua"/>
        </w:rPr>
        <w:t>, the founder and director of Excel and inventor of the Link-Tail</w:t>
      </w:r>
      <w:r w:rsidRPr="00DA04EE">
        <w:rPr>
          <w:rFonts w:ascii="Book Antiqua" w:hAnsi="Book Antiqua"/>
        </w:rPr>
        <w:t>. He filed two witness statements and was cross-examined and re-examined.</w:t>
      </w:r>
      <w:r w:rsidR="002E5297" w:rsidRPr="00DA04EE">
        <w:rPr>
          <w:rFonts w:ascii="Book Antiqua" w:hAnsi="Book Antiqua"/>
        </w:rPr>
        <w:t xml:space="preserve"> Mr Longstaff for </w:t>
      </w:r>
      <w:r w:rsidR="00C57C28" w:rsidRPr="00DA04EE">
        <w:rPr>
          <w:rFonts w:ascii="Book Antiqua" w:hAnsi="Book Antiqua"/>
        </w:rPr>
        <w:t>Source</w:t>
      </w:r>
      <w:r w:rsidR="002E5297" w:rsidRPr="00DA04EE">
        <w:rPr>
          <w:rFonts w:ascii="Book Antiqua" w:hAnsi="Book Antiqua"/>
        </w:rPr>
        <w:t xml:space="preserve"> expressed no criticism of his evidence</w:t>
      </w:r>
      <w:r w:rsidR="00C57C28" w:rsidRPr="00DA04EE">
        <w:rPr>
          <w:rFonts w:ascii="Book Antiqua" w:hAnsi="Book Antiqua"/>
        </w:rPr>
        <w:t xml:space="preserve"> and I found him to be a straightforward, professional, credible and reliable witness. I </w:t>
      </w:r>
      <w:r w:rsidR="00D4450C">
        <w:rPr>
          <w:rFonts w:ascii="Book Antiqua" w:hAnsi="Book Antiqua"/>
        </w:rPr>
        <w:t>thank him</w:t>
      </w:r>
      <w:r w:rsidR="00C57C28" w:rsidRPr="00DA04EE">
        <w:rPr>
          <w:rFonts w:ascii="Book Antiqua" w:hAnsi="Book Antiqua"/>
        </w:rPr>
        <w:t xml:space="preserve"> </w:t>
      </w:r>
      <w:r w:rsidR="002E5297" w:rsidRPr="00DA04EE">
        <w:rPr>
          <w:rFonts w:ascii="Book Antiqua" w:hAnsi="Book Antiqua"/>
        </w:rPr>
        <w:t xml:space="preserve">for his attendance </w:t>
      </w:r>
      <w:r w:rsidR="00C57C28" w:rsidRPr="00DA04EE">
        <w:rPr>
          <w:rFonts w:ascii="Book Antiqua" w:hAnsi="Book Antiqua"/>
        </w:rPr>
        <w:t xml:space="preserve">at trial to give oral evidence </w:t>
      </w:r>
      <w:r w:rsidR="002E5297" w:rsidRPr="00DA04EE">
        <w:rPr>
          <w:rFonts w:ascii="Book Antiqua" w:hAnsi="Book Antiqua"/>
        </w:rPr>
        <w:t>so shortly after the</w:t>
      </w:r>
      <w:r w:rsidR="00C57C28" w:rsidRPr="00DA04EE">
        <w:rPr>
          <w:rFonts w:ascii="Book Antiqua" w:hAnsi="Book Antiqua"/>
        </w:rPr>
        <w:t xml:space="preserve"> sad loss of his father. </w:t>
      </w:r>
    </w:p>
    <w:p w14:paraId="59E3BA1A" w14:textId="7D5076DB" w:rsidR="00FF49E2" w:rsidRPr="00DA04EE" w:rsidRDefault="009A4306" w:rsidP="009E4653">
      <w:pPr>
        <w:pStyle w:val="ParaLevel2"/>
        <w:rPr>
          <w:rFonts w:ascii="Book Antiqua" w:hAnsi="Book Antiqua"/>
        </w:rPr>
      </w:pPr>
      <w:r w:rsidRPr="00DA04EE">
        <w:rPr>
          <w:rFonts w:ascii="Book Antiqua" w:hAnsi="Book Antiqua"/>
        </w:rPr>
        <w:t>Mr Andy Lynch</w:t>
      </w:r>
      <w:r w:rsidR="00FF49E2" w:rsidRPr="00DA04EE">
        <w:rPr>
          <w:rFonts w:ascii="Book Antiqua" w:hAnsi="Book Antiqua"/>
        </w:rPr>
        <w:t xml:space="preserve">. </w:t>
      </w:r>
      <w:r w:rsidRPr="00DA04EE">
        <w:rPr>
          <w:rFonts w:ascii="Book Antiqua" w:hAnsi="Book Antiqua"/>
        </w:rPr>
        <w:t>He filed a short witness statement and Source elected not to cross-examine him. Accordingly his evidence is not disputed.</w:t>
      </w:r>
    </w:p>
    <w:p w14:paraId="657E16A1" w14:textId="003C6A47" w:rsidR="009A4306" w:rsidRPr="00DA04EE" w:rsidRDefault="009A4306" w:rsidP="009E4653">
      <w:pPr>
        <w:pStyle w:val="ParaLevel1"/>
        <w:rPr>
          <w:rFonts w:ascii="Book Antiqua" w:hAnsi="Book Antiqua"/>
        </w:rPr>
      </w:pPr>
      <w:r w:rsidRPr="00DA04EE">
        <w:rPr>
          <w:rFonts w:ascii="Book Antiqua" w:hAnsi="Book Antiqua"/>
        </w:rPr>
        <w:t>The Defendant’s witnesses are:</w:t>
      </w:r>
    </w:p>
    <w:p w14:paraId="5055A233" w14:textId="500BE00C" w:rsidR="009A4306" w:rsidRPr="00DA04EE" w:rsidRDefault="009A4306" w:rsidP="009E4653">
      <w:pPr>
        <w:pStyle w:val="ParaLevel2"/>
        <w:rPr>
          <w:rFonts w:ascii="Book Antiqua" w:hAnsi="Book Antiqua"/>
        </w:rPr>
      </w:pPr>
      <w:r w:rsidRPr="00DA04EE">
        <w:rPr>
          <w:rFonts w:ascii="Book Antiqua" w:hAnsi="Book Antiqua"/>
        </w:rPr>
        <w:t>Mr Yoki Gill, co-founder and Managing Director of Source. He has filed one witness statement.</w:t>
      </w:r>
      <w:r w:rsidR="00CD3B56" w:rsidRPr="00DA04EE">
        <w:rPr>
          <w:rFonts w:ascii="Book Antiqua" w:hAnsi="Book Antiqua"/>
        </w:rPr>
        <w:t xml:space="preserve"> He intended to attend court to give oral evidence at trial, but unfortunately his mother was taken very seriously ill and so he was unable to do so. </w:t>
      </w:r>
      <w:r w:rsidR="00C57C28" w:rsidRPr="00DA04EE">
        <w:rPr>
          <w:rFonts w:ascii="Book Antiqua" w:hAnsi="Book Antiqua"/>
        </w:rPr>
        <w:t>Source</w:t>
      </w:r>
      <w:r w:rsidR="00CD3B56" w:rsidRPr="00DA04EE">
        <w:rPr>
          <w:rFonts w:ascii="Book Antiqua" w:hAnsi="Book Antiqua"/>
        </w:rPr>
        <w:t xml:space="preserve"> filed a civil evide</w:t>
      </w:r>
      <w:r w:rsidR="00A50BD5" w:rsidRPr="00DA04EE">
        <w:rPr>
          <w:rFonts w:ascii="Book Antiqua" w:hAnsi="Book Antiqua"/>
        </w:rPr>
        <w:t>nce act notice in respect of his evidence.</w:t>
      </w:r>
      <w:r w:rsidR="00C57C28" w:rsidRPr="00DA04EE">
        <w:rPr>
          <w:rFonts w:ascii="Book Antiqua" w:hAnsi="Book Antiqua"/>
        </w:rPr>
        <w:t xml:space="preserve"> </w:t>
      </w:r>
      <w:r w:rsidR="00BB4409">
        <w:rPr>
          <w:rFonts w:ascii="Book Antiqua" w:hAnsi="Book Antiqua"/>
        </w:rPr>
        <w:t>Much of his evidence overlaps with that of Mr Clee, albeit not all of it. Much is also documented in contemporaneous correspondence. However, u</w:t>
      </w:r>
      <w:r w:rsidR="00C57C28" w:rsidRPr="00DA04EE">
        <w:rPr>
          <w:rFonts w:ascii="Book Antiqua" w:hAnsi="Book Antiqua"/>
        </w:rPr>
        <w:t>ndoubtedly there are questions that Excel would have liked to have asked him if he had been able to attend, and</w:t>
      </w:r>
      <w:r w:rsidR="00612B83">
        <w:rPr>
          <w:rFonts w:ascii="Book Antiqua" w:hAnsi="Book Antiqua"/>
        </w:rPr>
        <w:t xml:space="preserve"> I have not had the benefit of seeing him give oral evidence, which might have assisted me in assessing his credibility. For those</w:t>
      </w:r>
      <w:r w:rsidR="00BB4409">
        <w:rPr>
          <w:rFonts w:ascii="Book Antiqua" w:hAnsi="Book Antiqua"/>
        </w:rPr>
        <w:t xml:space="preserve"> reason</w:t>
      </w:r>
      <w:r w:rsidR="00612B83">
        <w:rPr>
          <w:rFonts w:ascii="Book Antiqua" w:hAnsi="Book Antiqua"/>
        </w:rPr>
        <w:t>s</w:t>
      </w:r>
      <w:r w:rsidR="00C57C28" w:rsidRPr="00DA04EE">
        <w:rPr>
          <w:rFonts w:ascii="Book Antiqua" w:hAnsi="Book Antiqua"/>
        </w:rPr>
        <w:t xml:space="preserve"> I give </w:t>
      </w:r>
      <w:r w:rsidR="00612B83">
        <w:rPr>
          <w:rFonts w:ascii="Book Antiqua" w:hAnsi="Book Antiqua"/>
        </w:rPr>
        <w:t>those aspects of his</w:t>
      </w:r>
      <w:r w:rsidR="00C57C28" w:rsidRPr="00DA04EE">
        <w:rPr>
          <w:rFonts w:ascii="Book Antiqua" w:hAnsi="Book Antiqua"/>
        </w:rPr>
        <w:t xml:space="preserve"> evidence </w:t>
      </w:r>
      <w:r w:rsidR="00612B83">
        <w:rPr>
          <w:rFonts w:ascii="Book Antiqua" w:hAnsi="Book Antiqua"/>
        </w:rPr>
        <w:t xml:space="preserve">which are disputed and not supported by other credible and reliable evidence commensurately </w:t>
      </w:r>
      <w:r w:rsidR="00C57C28" w:rsidRPr="00DA04EE">
        <w:rPr>
          <w:rFonts w:ascii="Book Antiqua" w:hAnsi="Book Antiqua"/>
        </w:rPr>
        <w:t>less weight</w:t>
      </w:r>
      <w:r w:rsidR="00C802F7" w:rsidRPr="00DA04EE">
        <w:rPr>
          <w:rFonts w:ascii="Book Antiqua" w:hAnsi="Book Antiqua"/>
        </w:rPr>
        <w:t>.</w:t>
      </w:r>
    </w:p>
    <w:p w14:paraId="3EA122C4" w14:textId="1D2E4479" w:rsidR="005D29A8" w:rsidRPr="00DA04EE" w:rsidRDefault="009A4306" w:rsidP="009E4653">
      <w:pPr>
        <w:pStyle w:val="ParaLevel2"/>
        <w:rPr>
          <w:rFonts w:ascii="Book Antiqua" w:hAnsi="Book Antiqua"/>
        </w:rPr>
      </w:pPr>
      <w:r w:rsidRPr="00DA04EE">
        <w:rPr>
          <w:rFonts w:ascii="Book Antiqua" w:hAnsi="Book Antiqua"/>
        </w:rPr>
        <w:t xml:space="preserve">Mr Charles Clee, a former Colonel </w:t>
      </w:r>
      <w:r w:rsidR="00402714" w:rsidRPr="00DA04EE">
        <w:rPr>
          <w:rFonts w:ascii="Book Antiqua" w:hAnsi="Book Antiqua"/>
        </w:rPr>
        <w:t>in the British Army who now runs a consultancy assisting private clients wishing to work in the defence and humanitarian sectors. He worked with So</w:t>
      </w:r>
      <w:r w:rsidR="00D4450C">
        <w:rPr>
          <w:rFonts w:ascii="Book Antiqua" w:hAnsi="Book Antiqua"/>
        </w:rPr>
        <w:t>urce to help it become prime c</w:t>
      </w:r>
      <w:r w:rsidR="00402714" w:rsidRPr="00DA04EE">
        <w:rPr>
          <w:rFonts w:ascii="Book Antiqua" w:hAnsi="Book Antiqua"/>
        </w:rPr>
        <w:t>ontractor for Virtus. He was cross-examined and re-examined.</w:t>
      </w:r>
      <w:r w:rsidR="00C57C28" w:rsidRPr="00DA04EE">
        <w:rPr>
          <w:rFonts w:ascii="Book Antiqua" w:hAnsi="Book Antiqua"/>
        </w:rPr>
        <w:t xml:space="preserve"> I also found him, like Mr Maclean, to be straightforward, professional, credible and reliable. </w:t>
      </w:r>
      <w:r w:rsidR="004F09E6" w:rsidRPr="00DA04EE">
        <w:rPr>
          <w:rFonts w:ascii="Book Antiqua" w:hAnsi="Book Antiqua"/>
        </w:rPr>
        <w:t xml:space="preserve">Mr Lomas </w:t>
      </w:r>
      <w:r w:rsidR="00CC6122" w:rsidRPr="00DA04EE">
        <w:rPr>
          <w:rFonts w:ascii="Book Antiqua" w:hAnsi="Book Antiqua"/>
        </w:rPr>
        <w:t>submits</w:t>
      </w:r>
      <w:r w:rsidR="004F09E6" w:rsidRPr="00DA04EE">
        <w:rPr>
          <w:rFonts w:ascii="Book Antiqua" w:hAnsi="Book Antiqua"/>
        </w:rPr>
        <w:t xml:space="preserve"> that Mr Clee’s admission that he may have required, but did not obtain, an export licence to send to Source in Israel a sample of the Link-Tail which he had bought on eBay should da</w:t>
      </w:r>
      <w:r w:rsidR="00CC6122" w:rsidRPr="00DA04EE">
        <w:rPr>
          <w:rFonts w:ascii="Book Antiqua" w:hAnsi="Book Antiqua"/>
        </w:rPr>
        <w:t>mage his credibility in the eyes of the Court</w:t>
      </w:r>
      <w:r w:rsidR="004F09E6" w:rsidRPr="00DA04EE">
        <w:rPr>
          <w:rFonts w:ascii="Book Antiqua" w:hAnsi="Book Antiqua"/>
        </w:rPr>
        <w:t xml:space="preserve"> as it shows that he has </w:t>
      </w:r>
      <w:r w:rsidR="00CC6122" w:rsidRPr="00DA04EE">
        <w:rPr>
          <w:rFonts w:ascii="Book Antiqua" w:hAnsi="Book Antiqua"/>
          <w:i/>
        </w:rPr>
        <w:t xml:space="preserve">“played </w:t>
      </w:r>
      <w:r w:rsidR="004F09E6" w:rsidRPr="00DA04EE">
        <w:rPr>
          <w:rFonts w:ascii="Book Antiqua" w:hAnsi="Book Antiqua"/>
          <w:i/>
        </w:rPr>
        <w:t>fast and loose without regard to how things should be done”.</w:t>
      </w:r>
      <w:r w:rsidR="004F09E6" w:rsidRPr="00DA04EE">
        <w:rPr>
          <w:rFonts w:ascii="Book Antiqua" w:hAnsi="Book Antiqua"/>
        </w:rPr>
        <w:t xml:space="preserve"> </w:t>
      </w:r>
      <w:r w:rsidR="00CC6122" w:rsidRPr="00DA04EE">
        <w:rPr>
          <w:rFonts w:ascii="Book Antiqua" w:hAnsi="Book Antiqua"/>
        </w:rPr>
        <w:t>The question</w:t>
      </w:r>
      <w:r w:rsidR="00612B83">
        <w:rPr>
          <w:rFonts w:ascii="Book Antiqua" w:hAnsi="Book Antiqua"/>
        </w:rPr>
        <w:t>s are</w:t>
      </w:r>
      <w:r w:rsidR="00CC6122" w:rsidRPr="00DA04EE">
        <w:rPr>
          <w:rFonts w:ascii="Book Antiqua" w:hAnsi="Book Antiqua"/>
        </w:rPr>
        <w:t xml:space="preserve"> whether such an export licence was required at the relevant time</w:t>
      </w:r>
      <w:r w:rsidR="00D4450C">
        <w:rPr>
          <w:rFonts w:ascii="Book Antiqua" w:hAnsi="Book Antiqua"/>
        </w:rPr>
        <w:t>, which was</w:t>
      </w:r>
      <w:r w:rsidR="00D12BB2" w:rsidRPr="00DA04EE">
        <w:rPr>
          <w:rFonts w:ascii="Book Antiqua" w:hAnsi="Book Antiqua"/>
        </w:rPr>
        <w:t xml:space="preserve"> </w:t>
      </w:r>
      <w:r w:rsidR="00CC6122" w:rsidRPr="00DA04EE">
        <w:rPr>
          <w:rFonts w:ascii="Book Antiqua" w:hAnsi="Book Antiqua"/>
        </w:rPr>
        <w:t xml:space="preserve">shortly before </w:t>
      </w:r>
      <w:r w:rsidR="00C53655" w:rsidRPr="00DA04EE">
        <w:rPr>
          <w:rFonts w:ascii="Book Antiqua" w:hAnsi="Book Antiqua"/>
        </w:rPr>
        <w:t>changes in the regulations which the parties accept now provide</w:t>
      </w:r>
      <w:r w:rsidR="00CC6122" w:rsidRPr="00DA04EE">
        <w:rPr>
          <w:rFonts w:ascii="Book Antiqua" w:hAnsi="Book Antiqua"/>
        </w:rPr>
        <w:t xml:space="preserve"> that such equipment does not require an export licence</w:t>
      </w:r>
      <w:r w:rsidR="00612B83">
        <w:rPr>
          <w:rFonts w:ascii="Book Antiqua" w:hAnsi="Book Antiqua"/>
        </w:rPr>
        <w:t>, and, if so, whether Mr Clee knew that it was</w:t>
      </w:r>
      <w:r w:rsidR="00CC6122" w:rsidRPr="00DA04EE">
        <w:rPr>
          <w:rFonts w:ascii="Book Antiqua" w:hAnsi="Book Antiqua"/>
        </w:rPr>
        <w:t xml:space="preserve">. It is not a question that I need to determine, in my judgment. </w:t>
      </w:r>
      <w:r w:rsidR="004F09E6" w:rsidRPr="00DA04EE">
        <w:rPr>
          <w:rFonts w:ascii="Book Antiqua" w:hAnsi="Book Antiqua"/>
        </w:rPr>
        <w:t xml:space="preserve">If </w:t>
      </w:r>
      <w:r w:rsidR="00CC6122" w:rsidRPr="00DA04EE">
        <w:rPr>
          <w:rFonts w:ascii="Book Antiqua" w:hAnsi="Book Antiqua"/>
        </w:rPr>
        <w:t xml:space="preserve">Mr Clee was in breach of export licence requirements then of course I do not condone it. </w:t>
      </w:r>
      <w:r w:rsidR="00D4450C">
        <w:rPr>
          <w:rFonts w:ascii="Book Antiqua" w:hAnsi="Book Antiqua"/>
        </w:rPr>
        <w:t xml:space="preserve">However I accept that </w:t>
      </w:r>
      <w:r w:rsidR="00612B83">
        <w:rPr>
          <w:rFonts w:ascii="Book Antiqua" w:hAnsi="Book Antiqua"/>
        </w:rPr>
        <w:t xml:space="preserve">if he was, </w:t>
      </w:r>
      <w:r w:rsidR="00D4450C">
        <w:rPr>
          <w:rFonts w:ascii="Book Antiqua" w:hAnsi="Book Antiqua"/>
        </w:rPr>
        <w:t xml:space="preserve">he did not </w:t>
      </w:r>
      <w:r w:rsidR="00612B83">
        <w:rPr>
          <w:rFonts w:ascii="Book Antiqua" w:hAnsi="Book Antiqua"/>
        </w:rPr>
        <w:t>breach them</w:t>
      </w:r>
      <w:r w:rsidR="00D4450C">
        <w:rPr>
          <w:rFonts w:ascii="Book Antiqua" w:hAnsi="Book Antiqua"/>
        </w:rPr>
        <w:t xml:space="preserve"> knowingly and I do not think it adversely affects my assessment of his</w:t>
      </w:r>
      <w:r w:rsidR="00CC6122" w:rsidRPr="00DA04EE">
        <w:rPr>
          <w:rFonts w:ascii="Book Antiqua" w:hAnsi="Book Antiqua"/>
        </w:rPr>
        <w:t xml:space="preserve"> credibility when giving evidence under oath in this court. Nor do I </w:t>
      </w:r>
      <w:r w:rsidR="00D4450C">
        <w:rPr>
          <w:rFonts w:ascii="Book Antiqua" w:hAnsi="Book Antiqua"/>
        </w:rPr>
        <w:t>consider it appropriate to accept</w:t>
      </w:r>
      <w:r w:rsidR="00CC6122" w:rsidRPr="00DA04EE">
        <w:rPr>
          <w:rFonts w:ascii="Book Antiqua" w:hAnsi="Book Antiqua"/>
        </w:rPr>
        <w:t xml:space="preserve"> Mr Lomas’s invitation to use that conduct, if any, as a prism against which Source’s conduct should be viewed. </w:t>
      </w:r>
    </w:p>
    <w:p w14:paraId="203A746E" w14:textId="1712F324" w:rsidR="001556A6" w:rsidRPr="00DA04EE" w:rsidRDefault="0049247C" w:rsidP="009E4653">
      <w:pPr>
        <w:pStyle w:val="ParaLevel1"/>
        <w:numPr>
          <w:ilvl w:val="0"/>
          <w:numId w:val="0"/>
        </w:numPr>
        <w:ind w:left="862" w:hanging="720"/>
        <w:rPr>
          <w:rFonts w:ascii="Book Antiqua" w:hAnsi="Book Antiqua"/>
          <w:b/>
        </w:rPr>
      </w:pPr>
      <w:r>
        <w:rPr>
          <w:rFonts w:ascii="Book Antiqua" w:hAnsi="Book Antiqua"/>
          <w:b/>
        </w:rPr>
        <w:t>THE FACTS</w:t>
      </w:r>
    </w:p>
    <w:p w14:paraId="5B58FB30" w14:textId="194D25E7" w:rsidR="00923E65" w:rsidRPr="00DA04EE" w:rsidRDefault="00923E65" w:rsidP="009E4653">
      <w:pPr>
        <w:pStyle w:val="ParaLevel1"/>
        <w:rPr>
          <w:rFonts w:ascii="Book Antiqua" w:hAnsi="Book Antiqua"/>
        </w:rPr>
      </w:pPr>
      <w:r w:rsidRPr="00DA04EE">
        <w:rPr>
          <w:rFonts w:ascii="Book Antiqua" w:hAnsi="Book Antiqua"/>
        </w:rPr>
        <w:t xml:space="preserve">Mr Maclean </w:t>
      </w:r>
      <w:r w:rsidR="00030A49" w:rsidRPr="00DA04EE">
        <w:rPr>
          <w:rFonts w:ascii="Book Antiqua" w:hAnsi="Book Antiqua"/>
        </w:rPr>
        <w:t xml:space="preserve">was a Royal Marine from 1986 until 1993, during which time he became a qualified Royal Marine Sniper Instructor. After leaving the forces, he became a consultant to Defence companies in the UK and Middle East. </w:t>
      </w:r>
    </w:p>
    <w:p w14:paraId="3FB3C58B" w14:textId="4CCE7B7F" w:rsidR="00030A49" w:rsidRPr="00DA04EE" w:rsidRDefault="00030A49" w:rsidP="009E4653">
      <w:pPr>
        <w:pStyle w:val="ParaLevel1"/>
        <w:rPr>
          <w:rFonts w:ascii="Book Antiqua" w:hAnsi="Book Antiqua"/>
        </w:rPr>
      </w:pPr>
      <w:r w:rsidRPr="00DA04EE">
        <w:rPr>
          <w:rFonts w:ascii="Book Antiqua" w:hAnsi="Book Antiqua"/>
        </w:rPr>
        <w:t>In December 2011 the MoD published contract notice details of a competition called URBEX 2012 which was intended to identify and evaluate commercial</w:t>
      </w:r>
      <w:r w:rsidR="00D4450C">
        <w:rPr>
          <w:rFonts w:ascii="Book Antiqua" w:hAnsi="Book Antiqua"/>
        </w:rPr>
        <w:t>ly available</w:t>
      </w:r>
      <w:r w:rsidRPr="00DA04EE">
        <w:rPr>
          <w:rFonts w:ascii="Book Antiqua" w:hAnsi="Book Antiqua"/>
        </w:rPr>
        <w:t xml:space="preserve">, off the shelf, high readiness equipment, capable for use in </w:t>
      </w:r>
      <w:r w:rsidR="00270630" w:rsidRPr="00DA04EE">
        <w:rPr>
          <w:rFonts w:ascii="Book Antiqua" w:hAnsi="Book Antiqua"/>
        </w:rPr>
        <w:t xml:space="preserve">dismounted </w:t>
      </w:r>
      <w:r w:rsidRPr="00DA04EE">
        <w:rPr>
          <w:rFonts w:ascii="Book Antiqua" w:hAnsi="Book Antiqua"/>
        </w:rPr>
        <w:t xml:space="preserve">close combat </w:t>
      </w:r>
      <w:r w:rsidR="00270630" w:rsidRPr="00DA04EE">
        <w:rPr>
          <w:rFonts w:ascii="Book Antiqua" w:hAnsi="Book Antiqua"/>
        </w:rPr>
        <w:t xml:space="preserve">in </w:t>
      </w:r>
      <w:r w:rsidRPr="00DA04EE">
        <w:rPr>
          <w:rFonts w:ascii="Book Antiqua" w:hAnsi="Book Antiqua"/>
        </w:rPr>
        <w:t>complex terrain. The competition intended to carry out demonstrations, tests and trials of such equipment to find equipment that would d</w:t>
      </w:r>
      <w:r w:rsidR="00270630" w:rsidRPr="00DA04EE">
        <w:rPr>
          <w:rFonts w:ascii="Book Antiqua" w:hAnsi="Book Antiqua"/>
        </w:rPr>
        <w:t>e-risk and directly support HM Forces</w:t>
      </w:r>
      <w:r w:rsidR="00D5296B" w:rsidRPr="00DA04EE">
        <w:rPr>
          <w:rFonts w:ascii="Book Antiqua" w:hAnsi="Book Antiqua"/>
        </w:rPr>
        <w:t>’</w:t>
      </w:r>
      <w:r w:rsidR="00270630" w:rsidRPr="00DA04EE">
        <w:rPr>
          <w:rFonts w:ascii="Book Antiqua" w:hAnsi="Book Antiqua"/>
        </w:rPr>
        <w:t xml:space="preserve"> urgent operational requirements.</w:t>
      </w:r>
    </w:p>
    <w:p w14:paraId="3DD6B35B" w14:textId="239D2067" w:rsidR="00D12BB2" w:rsidRPr="00DA04EE" w:rsidRDefault="00270630" w:rsidP="009E4653">
      <w:pPr>
        <w:pStyle w:val="ParaLevel1"/>
        <w:rPr>
          <w:rFonts w:ascii="Book Antiqua" w:hAnsi="Book Antiqua"/>
        </w:rPr>
      </w:pPr>
      <w:r w:rsidRPr="00DA04EE">
        <w:rPr>
          <w:rFonts w:ascii="Book Antiqua" w:hAnsi="Book Antiqua"/>
        </w:rPr>
        <w:t xml:space="preserve">One of the categories of equipment sought was </w:t>
      </w:r>
      <w:r w:rsidRPr="00DA04EE">
        <w:rPr>
          <w:rFonts w:ascii="Book Antiqua" w:hAnsi="Book Antiqua"/>
          <w:i/>
        </w:rPr>
        <w:t>“TM4: Rapidly accessible linked ammunition stowage suitable for 200 rounds of 7.62mm”</w:t>
      </w:r>
      <w:r w:rsidRPr="00DA04EE">
        <w:rPr>
          <w:rFonts w:ascii="Book Antiqua" w:hAnsi="Book Antiqua"/>
        </w:rPr>
        <w:t xml:space="preserve">. Mr Maclean explains that this is ammunition primarily used in the UK and NATO Armed Forces to feed a fully automatic </w:t>
      </w:r>
      <w:r w:rsidR="00C53655" w:rsidRPr="00DA04EE">
        <w:rPr>
          <w:rFonts w:ascii="Book Antiqua" w:hAnsi="Book Antiqua"/>
        </w:rPr>
        <w:t>general-purpose</w:t>
      </w:r>
      <w:r w:rsidRPr="00DA04EE">
        <w:rPr>
          <w:rFonts w:ascii="Book Antiqua" w:hAnsi="Book Antiqua"/>
        </w:rPr>
        <w:t xml:space="preserve"> machine gun (“</w:t>
      </w:r>
      <w:r w:rsidRPr="00413300">
        <w:rPr>
          <w:rFonts w:ascii="Book Antiqua" w:hAnsi="Book Antiqua"/>
          <w:b/>
        </w:rPr>
        <w:t>GPMG</w:t>
      </w:r>
      <w:r w:rsidRPr="00DA04EE">
        <w:rPr>
          <w:rFonts w:ascii="Book Antiqua" w:hAnsi="Book Antiqua"/>
        </w:rPr>
        <w:t>”)</w:t>
      </w:r>
      <w:r w:rsidR="00D4450C">
        <w:rPr>
          <w:rFonts w:ascii="Book Antiqua" w:hAnsi="Book Antiqua"/>
        </w:rPr>
        <w:t xml:space="preserve">. </w:t>
      </w:r>
      <w:r w:rsidR="00D4450C" w:rsidRPr="00D4450C">
        <w:rPr>
          <w:rFonts w:ascii="Book Antiqua" w:hAnsi="Book Antiqua"/>
        </w:rPr>
        <w:t>He says that i</w:t>
      </w:r>
      <w:r w:rsidRPr="00D4450C">
        <w:rPr>
          <w:rFonts w:ascii="Book Antiqua" w:hAnsi="Book Antiqua"/>
        </w:rPr>
        <w:t>n the context of dismounted close combat (</w:t>
      </w:r>
      <w:r w:rsidR="00D4450C">
        <w:rPr>
          <w:rFonts w:ascii="Book Antiqua" w:hAnsi="Book Antiqua"/>
        </w:rPr>
        <w:t>i.e.</w:t>
      </w:r>
      <w:r w:rsidRPr="00D4450C">
        <w:rPr>
          <w:rFonts w:ascii="Book Antiqua" w:hAnsi="Book Antiqua"/>
        </w:rPr>
        <w:t xml:space="preserve"> soldiers fighting on foot dismounted from any vehicles), each section (a group of 8 soldiers) would be expected to carry </w:t>
      </w:r>
      <w:r w:rsidR="00413300">
        <w:rPr>
          <w:rFonts w:ascii="Book Antiqua" w:hAnsi="Book Antiqua"/>
        </w:rPr>
        <w:t>one</w:t>
      </w:r>
      <w:r w:rsidRPr="00D4450C">
        <w:rPr>
          <w:rFonts w:ascii="Book Antiqua" w:hAnsi="Book Antiqua"/>
        </w:rPr>
        <w:t xml:space="preserve"> GPMG between them, with </w:t>
      </w:r>
      <w:r w:rsidR="00D4450C">
        <w:rPr>
          <w:rFonts w:ascii="Book Antiqua" w:hAnsi="Book Antiqua"/>
        </w:rPr>
        <w:t>most</w:t>
      </w:r>
      <w:r w:rsidRPr="00D4450C">
        <w:rPr>
          <w:rFonts w:ascii="Book Antiqua" w:hAnsi="Book Antiqua"/>
        </w:rPr>
        <w:t xml:space="preserve"> soldier</w:t>
      </w:r>
      <w:r w:rsidR="00D10E2B">
        <w:rPr>
          <w:rFonts w:ascii="Book Antiqua" w:hAnsi="Book Antiqua"/>
        </w:rPr>
        <w:t>s</w:t>
      </w:r>
      <w:r w:rsidR="00D4450C" w:rsidRPr="00D4450C">
        <w:rPr>
          <w:rFonts w:ascii="Book Antiqua" w:hAnsi="Book Antiqua"/>
        </w:rPr>
        <w:t xml:space="preserve"> </w:t>
      </w:r>
      <w:r w:rsidRPr="00D4450C">
        <w:rPr>
          <w:rFonts w:ascii="Book Antiqua" w:hAnsi="Book Antiqua"/>
        </w:rPr>
        <w:t>expected to carry 7.62mm ammunition to feed the weapon given its rapid rate of fire.</w:t>
      </w:r>
      <w:r w:rsidRPr="00DA04EE">
        <w:rPr>
          <w:rFonts w:ascii="Book Antiqua" w:hAnsi="Book Antiqua"/>
        </w:rPr>
        <w:t xml:space="preserve"> </w:t>
      </w:r>
    </w:p>
    <w:p w14:paraId="4A206B58" w14:textId="6DCA26E7" w:rsidR="00270630" w:rsidRPr="00DA04EE" w:rsidRDefault="00270630" w:rsidP="009E4653">
      <w:pPr>
        <w:pStyle w:val="ParaLevel1"/>
        <w:rPr>
          <w:rFonts w:ascii="Book Antiqua" w:hAnsi="Book Antiqua"/>
        </w:rPr>
      </w:pPr>
      <w:r w:rsidRPr="00DA04EE">
        <w:rPr>
          <w:rFonts w:ascii="Book Antiqua" w:hAnsi="Book Antiqua"/>
        </w:rPr>
        <w:t xml:space="preserve">Mr Maclean’s evidence is that he discussed the TM4 requirement with a number of ex-servicemen and came to the conclusion that there had never been a piece of issued equipment to meet this requirement. Instead, ammunition was </w:t>
      </w:r>
      <w:r w:rsidR="004B165E" w:rsidRPr="00DA04EE">
        <w:rPr>
          <w:rFonts w:ascii="Book Antiqua" w:hAnsi="Book Antiqua"/>
        </w:rPr>
        <w:t xml:space="preserve">either </w:t>
      </w:r>
      <w:r w:rsidRPr="00DA04EE">
        <w:rPr>
          <w:rFonts w:ascii="Book Antiqua" w:hAnsi="Book Antiqua"/>
        </w:rPr>
        <w:t>sto</w:t>
      </w:r>
      <w:r w:rsidR="004B165E" w:rsidRPr="00DA04EE">
        <w:rPr>
          <w:rFonts w:ascii="Book Antiqua" w:hAnsi="Book Antiqua"/>
        </w:rPr>
        <w:t xml:space="preserve">wed in a sand bag in the soldier’s rucksack, and </w:t>
      </w:r>
      <w:r w:rsidR="00224BCF" w:rsidRPr="00DA04EE">
        <w:rPr>
          <w:rFonts w:ascii="Book Antiqua" w:hAnsi="Book Antiqua"/>
        </w:rPr>
        <w:t>had</w:t>
      </w:r>
      <w:r w:rsidR="004B165E" w:rsidRPr="00DA04EE">
        <w:rPr>
          <w:rFonts w:ascii="Book Antiqua" w:hAnsi="Book Antiqua"/>
        </w:rPr>
        <w:t xml:space="preserve"> to be entirely removed from both the rucksack and the sand bag before firing; or it was stored in and fired directly from the heavy steel container in which it had been issued from stores. </w:t>
      </w:r>
      <w:r w:rsidR="00D12BB2" w:rsidRPr="00DA04EE">
        <w:rPr>
          <w:rFonts w:ascii="Book Antiqua" w:hAnsi="Book Antiqua"/>
        </w:rPr>
        <w:t xml:space="preserve">Mr Clee offers a third example: that in the 1970s and early 1980s linked ammunition was stored in </w:t>
      </w:r>
      <w:r w:rsidR="00D10E2B">
        <w:rPr>
          <w:rFonts w:ascii="Book Antiqua" w:hAnsi="Book Antiqua"/>
        </w:rPr>
        <w:t xml:space="preserve">the Q33A bag </w:t>
      </w:r>
      <w:r w:rsidR="00D12BB2" w:rsidRPr="00DA04EE">
        <w:rPr>
          <w:rFonts w:ascii="Book Antiqua" w:hAnsi="Book Antiqua"/>
        </w:rPr>
        <w:t xml:space="preserve">which could be worn bandolier-style, </w:t>
      </w:r>
      <w:r w:rsidR="00D10E2B">
        <w:rPr>
          <w:rFonts w:ascii="Book Antiqua" w:hAnsi="Book Antiqua"/>
        </w:rPr>
        <w:t>but</w:t>
      </w:r>
      <w:r w:rsidR="00D12BB2" w:rsidRPr="00DA04EE">
        <w:rPr>
          <w:rFonts w:ascii="Book Antiqua" w:hAnsi="Book Antiqua"/>
        </w:rPr>
        <w:t xml:space="preserve"> which also required the ammunition to be entirely removed from the bag before firing.</w:t>
      </w:r>
    </w:p>
    <w:p w14:paraId="1FF1BE49" w14:textId="4F4FA54D" w:rsidR="004B165E" w:rsidRPr="00DA04EE" w:rsidRDefault="004B165E" w:rsidP="009E4653">
      <w:pPr>
        <w:pStyle w:val="ParaLevel1"/>
        <w:rPr>
          <w:rFonts w:ascii="Book Antiqua" w:hAnsi="Book Antiqua"/>
        </w:rPr>
      </w:pPr>
      <w:r w:rsidRPr="00DA04EE">
        <w:rPr>
          <w:rFonts w:ascii="Book Antiqua" w:hAnsi="Book Antiqua"/>
        </w:rPr>
        <w:t xml:space="preserve">Mr Maclean </w:t>
      </w:r>
      <w:r w:rsidR="00D12BB2" w:rsidRPr="00DA04EE">
        <w:rPr>
          <w:rFonts w:ascii="Book Antiqua" w:hAnsi="Book Antiqua"/>
        </w:rPr>
        <w:t xml:space="preserve">says he </w:t>
      </w:r>
      <w:r w:rsidRPr="00DA04EE">
        <w:rPr>
          <w:rFonts w:ascii="Book Antiqua" w:hAnsi="Book Antiqua"/>
        </w:rPr>
        <w:t>set about to design a piece of equipment to meet the following criteria:</w:t>
      </w:r>
    </w:p>
    <w:p w14:paraId="48AA23CB" w14:textId="7F435EC8" w:rsidR="004B165E" w:rsidRPr="00DA04EE" w:rsidRDefault="004B165E" w:rsidP="009E4653">
      <w:pPr>
        <w:pStyle w:val="ParaLevel2"/>
        <w:rPr>
          <w:rFonts w:ascii="Book Antiqua" w:hAnsi="Book Antiqua"/>
        </w:rPr>
      </w:pPr>
      <w:r w:rsidRPr="00DA04EE">
        <w:rPr>
          <w:rFonts w:ascii="Book Antiqua" w:hAnsi="Book Antiqua"/>
        </w:rPr>
        <w:t>Light weight, low bulk, low cost</w:t>
      </w:r>
      <w:r w:rsidR="00D10E2B">
        <w:rPr>
          <w:rFonts w:ascii="Book Antiqua" w:hAnsi="Book Antiqua"/>
        </w:rPr>
        <w:t>;</w:t>
      </w:r>
    </w:p>
    <w:p w14:paraId="05765326" w14:textId="56980A07" w:rsidR="004B165E" w:rsidRPr="00DA04EE" w:rsidRDefault="004B165E" w:rsidP="009E4653">
      <w:pPr>
        <w:pStyle w:val="ParaLevel2"/>
        <w:rPr>
          <w:rFonts w:ascii="Book Antiqua" w:hAnsi="Book Antiqua"/>
        </w:rPr>
      </w:pPr>
      <w:r w:rsidRPr="00DA04EE">
        <w:rPr>
          <w:rFonts w:ascii="Book Antiqua" w:hAnsi="Book Antiqua"/>
        </w:rPr>
        <w:t>Ease of use</w:t>
      </w:r>
      <w:r w:rsidR="00D10E2B">
        <w:rPr>
          <w:rFonts w:ascii="Book Antiqua" w:hAnsi="Book Antiqua"/>
        </w:rPr>
        <w:t>;</w:t>
      </w:r>
    </w:p>
    <w:p w14:paraId="68B06B07" w14:textId="2BEC8D33" w:rsidR="004B165E" w:rsidRPr="00DA04EE" w:rsidRDefault="004B165E" w:rsidP="009E4653">
      <w:pPr>
        <w:pStyle w:val="ParaLevel2"/>
        <w:rPr>
          <w:rFonts w:ascii="Book Antiqua" w:hAnsi="Book Antiqua"/>
        </w:rPr>
      </w:pPr>
      <w:r w:rsidRPr="00DA04EE">
        <w:rPr>
          <w:rFonts w:ascii="Book Antiqua" w:hAnsi="Book Antiqua"/>
        </w:rPr>
        <w:t>Ability to directly feed the ammunition into the weapon system;</w:t>
      </w:r>
    </w:p>
    <w:p w14:paraId="7C6AE553" w14:textId="21C593A0" w:rsidR="004B165E" w:rsidRPr="00DA04EE" w:rsidRDefault="004B165E" w:rsidP="009E4653">
      <w:pPr>
        <w:pStyle w:val="ParaLevel2"/>
        <w:rPr>
          <w:rFonts w:ascii="Book Antiqua" w:hAnsi="Book Antiqua"/>
        </w:rPr>
      </w:pPr>
      <w:r w:rsidRPr="00DA04EE">
        <w:rPr>
          <w:rFonts w:ascii="Book Antiqua" w:hAnsi="Book Antiqua"/>
        </w:rPr>
        <w:t>Snag-free delivery of the ammunition</w:t>
      </w:r>
      <w:r w:rsidR="00D10E2B">
        <w:rPr>
          <w:rFonts w:ascii="Book Antiqua" w:hAnsi="Book Antiqua"/>
        </w:rPr>
        <w:t>;</w:t>
      </w:r>
    </w:p>
    <w:p w14:paraId="21E5F923" w14:textId="33BD15E0" w:rsidR="004B165E" w:rsidRPr="00DA04EE" w:rsidRDefault="004B165E" w:rsidP="009E4653">
      <w:pPr>
        <w:pStyle w:val="ParaLevel2"/>
        <w:rPr>
          <w:rFonts w:ascii="Book Antiqua" w:hAnsi="Book Antiqua"/>
        </w:rPr>
      </w:pPr>
      <w:r w:rsidRPr="00DA04EE">
        <w:rPr>
          <w:rFonts w:ascii="Book Antiqua" w:hAnsi="Book Antiqua"/>
        </w:rPr>
        <w:t>Easy and quick resupply of ammunition to the gunner</w:t>
      </w:r>
      <w:r w:rsidR="00D10E2B">
        <w:rPr>
          <w:rFonts w:ascii="Book Antiqua" w:hAnsi="Book Antiqua"/>
        </w:rPr>
        <w:t>;</w:t>
      </w:r>
    </w:p>
    <w:p w14:paraId="596415D2" w14:textId="1D196F1B" w:rsidR="004B165E" w:rsidRPr="00DA04EE" w:rsidRDefault="004B165E" w:rsidP="009E4653">
      <w:pPr>
        <w:pStyle w:val="ParaLevel2"/>
        <w:rPr>
          <w:rFonts w:ascii="Book Antiqua" w:hAnsi="Book Antiqua"/>
        </w:rPr>
      </w:pPr>
      <w:r w:rsidRPr="00DA04EE">
        <w:rPr>
          <w:rFonts w:ascii="Book Antiqua" w:hAnsi="Book Antiqua"/>
        </w:rPr>
        <w:t xml:space="preserve">Protection of the ammunition from contaminants (dirt, stones </w:t>
      </w:r>
      <w:r w:rsidR="00C53655" w:rsidRPr="00DA04EE">
        <w:rPr>
          <w:rFonts w:ascii="Book Antiqua" w:hAnsi="Book Antiqua"/>
        </w:rPr>
        <w:t>etc.</w:t>
      </w:r>
      <w:r w:rsidRPr="00DA04EE">
        <w:rPr>
          <w:rFonts w:ascii="Book Antiqua" w:hAnsi="Book Antiqua"/>
        </w:rPr>
        <w:t>) as these are the majority of weapon stoppages.</w:t>
      </w:r>
    </w:p>
    <w:p w14:paraId="74E45B43" w14:textId="7EE3CF3D" w:rsidR="00270630" w:rsidRPr="00DA04EE" w:rsidRDefault="004B165E" w:rsidP="009E4653">
      <w:pPr>
        <w:pStyle w:val="ParaLevel1"/>
        <w:rPr>
          <w:rFonts w:ascii="Book Antiqua" w:hAnsi="Book Antiqua"/>
        </w:rPr>
      </w:pPr>
      <w:r w:rsidRPr="00DA04EE">
        <w:rPr>
          <w:rFonts w:ascii="Book Antiqua" w:hAnsi="Book Antiqua"/>
        </w:rPr>
        <w:t xml:space="preserve">In relation to point (iii) above, his evidence is that although this requirement was not stipulated in the URBEX 2012 notice, he wanted to develop a “plug and play” product. </w:t>
      </w:r>
    </w:p>
    <w:p w14:paraId="304DDCC1" w14:textId="0AAE999C" w:rsidR="00B74123" w:rsidRPr="00DA04EE" w:rsidRDefault="00B74123" w:rsidP="009E4653">
      <w:pPr>
        <w:pStyle w:val="ParaLevel1"/>
        <w:rPr>
          <w:rFonts w:ascii="Book Antiqua" w:hAnsi="Book Antiqua"/>
        </w:rPr>
      </w:pPr>
      <w:r w:rsidRPr="00DA04EE">
        <w:rPr>
          <w:rFonts w:ascii="Book Antiqua" w:hAnsi="Book Antiqua"/>
        </w:rPr>
        <w:t>Mr Maclean experimented with 7.62mm link</w:t>
      </w:r>
      <w:r w:rsidR="00D10E2B">
        <w:rPr>
          <w:rFonts w:ascii="Book Antiqua" w:hAnsi="Book Antiqua"/>
        </w:rPr>
        <w:t>ed</w:t>
      </w:r>
      <w:r w:rsidRPr="00DA04EE">
        <w:rPr>
          <w:rFonts w:ascii="Book Antiqua" w:hAnsi="Book Antiqua"/>
        </w:rPr>
        <w:t xml:space="preserve"> ammunition </w:t>
      </w:r>
      <w:r w:rsidR="00D10E2B">
        <w:rPr>
          <w:rFonts w:ascii="Book Antiqua" w:hAnsi="Book Antiqua"/>
        </w:rPr>
        <w:t>rounds</w:t>
      </w:r>
      <w:r w:rsidR="00224BCF" w:rsidRPr="00DA04EE">
        <w:rPr>
          <w:rFonts w:ascii="Book Antiqua" w:hAnsi="Book Antiqua"/>
        </w:rPr>
        <w:t>,</w:t>
      </w:r>
      <w:r w:rsidRPr="00DA04EE">
        <w:rPr>
          <w:rFonts w:ascii="Book Antiqua" w:hAnsi="Book Antiqua"/>
        </w:rPr>
        <w:t xml:space="preserve"> </w:t>
      </w:r>
      <w:r w:rsidR="00D10E2B">
        <w:rPr>
          <w:rFonts w:ascii="Book Antiqua" w:hAnsi="Book Antiqua"/>
        </w:rPr>
        <w:t>in which the bullets</w:t>
      </w:r>
      <w:r w:rsidRPr="00DA04EE">
        <w:rPr>
          <w:rFonts w:ascii="Book Antiqua" w:hAnsi="Book Antiqua"/>
        </w:rPr>
        <w:t xml:space="preserve"> are connected by </w:t>
      </w:r>
      <w:r w:rsidR="00413300">
        <w:rPr>
          <w:rFonts w:ascii="Book Antiqua" w:hAnsi="Book Antiqua"/>
        </w:rPr>
        <w:t>metal links</w:t>
      </w:r>
      <w:r w:rsidRPr="00DA04EE">
        <w:rPr>
          <w:rFonts w:ascii="Book Antiqua" w:hAnsi="Book Antiqua"/>
        </w:rPr>
        <w:t xml:space="preserve"> on one side, leaving the brass of the ammunition casings exposed on the other. The</w:t>
      </w:r>
      <w:r w:rsidR="00224BCF" w:rsidRPr="00DA04EE">
        <w:rPr>
          <w:rFonts w:ascii="Book Antiqua" w:hAnsi="Book Antiqua"/>
        </w:rPr>
        <w:t xml:space="preserve">y are fed into the GPMG </w:t>
      </w:r>
      <w:r w:rsidR="00413300">
        <w:rPr>
          <w:rFonts w:ascii="Book Antiqua" w:hAnsi="Book Antiqua"/>
        </w:rPr>
        <w:t>link</w:t>
      </w:r>
      <w:r w:rsidR="00224BCF" w:rsidRPr="00DA04EE">
        <w:rPr>
          <w:rFonts w:ascii="Book Antiqua" w:hAnsi="Book Antiqua"/>
        </w:rPr>
        <w:t>-</w:t>
      </w:r>
      <w:r w:rsidRPr="00DA04EE">
        <w:rPr>
          <w:rFonts w:ascii="Book Antiqua" w:hAnsi="Book Antiqua"/>
        </w:rPr>
        <w:t>side up</w:t>
      </w:r>
      <w:r w:rsidR="00D10E2B">
        <w:rPr>
          <w:rFonts w:ascii="Book Antiqua" w:hAnsi="Book Antiqua"/>
        </w:rPr>
        <w:t>, as can be seen in Image 1 above</w:t>
      </w:r>
      <w:r w:rsidRPr="00DA04EE">
        <w:rPr>
          <w:rFonts w:ascii="Book Antiqua" w:hAnsi="Book Antiqua"/>
        </w:rPr>
        <w:t xml:space="preserve">. He says that he </w:t>
      </w:r>
      <w:r w:rsidR="00D12BB2" w:rsidRPr="00DA04EE">
        <w:rPr>
          <w:rFonts w:ascii="Book Antiqua" w:hAnsi="Book Antiqua"/>
        </w:rPr>
        <w:t>determined</w:t>
      </w:r>
      <w:r w:rsidRPr="00DA04EE">
        <w:rPr>
          <w:rFonts w:ascii="Book Antiqua" w:hAnsi="Book Antiqua"/>
        </w:rPr>
        <w:t xml:space="preserve"> that</w:t>
      </w:r>
      <w:r w:rsidR="00224BCF" w:rsidRPr="00DA04EE">
        <w:rPr>
          <w:rFonts w:ascii="Book Antiqua" w:hAnsi="Book Antiqua"/>
        </w:rPr>
        <w:t>,</w:t>
      </w:r>
      <w:r w:rsidRPr="00DA04EE">
        <w:rPr>
          <w:rFonts w:ascii="Book Antiqua" w:hAnsi="Book Antiqua"/>
        </w:rPr>
        <w:t xml:space="preserve"> provided the ammunition was layered underside to underside, or </w:t>
      </w:r>
      <w:r w:rsidR="00C53655" w:rsidRPr="00DA04EE">
        <w:rPr>
          <w:rFonts w:ascii="Book Antiqua" w:hAnsi="Book Antiqua"/>
        </w:rPr>
        <w:t>brass-to-brass</w:t>
      </w:r>
      <w:r w:rsidRPr="00DA04EE">
        <w:rPr>
          <w:rFonts w:ascii="Book Antiqua" w:hAnsi="Book Antiqua"/>
        </w:rPr>
        <w:t xml:space="preserve">, </w:t>
      </w:r>
      <w:r w:rsidR="00224BCF" w:rsidRPr="00DA04EE">
        <w:rPr>
          <w:rFonts w:ascii="Book Antiqua" w:hAnsi="Book Antiqua"/>
        </w:rPr>
        <w:t xml:space="preserve">when fed </w:t>
      </w:r>
      <w:r w:rsidRPr="00DA04EE">
        <w:rPr>
          <w:rFonts w:ascii="Book Antiqua" w:hAnsi="Book Antiqua"/>
        </w:rPr>
        <w:t xml:space="preserve">through the machine gun, </w:t>
      </w:r>
      <w:r w:rsidR="00224BCF" w:rsidRPr="00DA04EE">
        <w:rPr>
          <w:rFonts w:ascii="Book Antiqua" w:hAnsi="Book Antiqua"/>
        </w:rPr>
        <w:t>the</w:t>
      </w:r>
      <w:r w:rsidRPr="00DA04EE">
        <w:rPr>
          <w:rFonts w:ascii="Book Antiqua" w:hAnsi="Book Antiqua"/>
        </w:rPr>
        <w:t xml:space="preserve"> ammunition </w:t>
      </w:r>
      <w:r w:rsidR="00224BCF" w:rsidRPr="00DA04EE">
        <w:rPr>
          <w:rFonts w:ascii="Book Antiqua" w:hAnsi="Book Antiqua"/>
        </w:rPr>
        <w:t>would easily</w:t>
      </w:r>
      <w:r w:rsidRPr="00DA04EE">
        <w:rPr>
          <w:rFonts w:ascii="Book Antiqua" w:hAnsi="Book Antiqua"/>
        </w:rPr>
        <w:t xml:space="preserve"> flow freely across itself, without snagging.</w:t>
      </w:r>
    </w:p>
    <w:p w14:paraId="4BD552ED" w14:textId="0A4E9FAB" w:rsidR="00B74123" w:rsidRPr="00DA04EE" w:rsidRDefault="00B74123" w:rsidP="009E4653">
      <w:pPr>
        <w:pStyle w:val="ParaLevel1"/>
        <w:rPr>
          <w:rFonts w:ascii="Book Antiqua" w:hAnsi="Book Antiqua"/>
        </w:rPr>
      </w:pPr>
      <w:r w:rsidRPr="00DA04EE">
        <w:rPr>
          <w:rFonts w:ascii="Book Antiqua" w:hAnsi="Book Antiqua"/>
        </w:rPr>
        <w:t xml:space="preserve">He then turned his mind to </w:t>
      </w:r>
      <w:r w:rsidRPr="00DA04EE">
        <w:rPr>
          <w:rFonts w:ascii="Book Antiqua" w:hAnsi="Book Antiqua"/>
          <w:i/>
        </w:rPr>
        <w:t>“identifying a shape which would optimise ease of carriage coupled with the target characteristics of lightweight, low bulk and low user burden”</w:t>
      </w:r>
      <w:r w:rsidR="00806E7F" w:rsidRPr="00DA04EE">
        <w:rPr>
          <w:rFonts w:ascii="Book Antiqua" w:hAnsi="Book Antiqua"/>
        </w:rPr>
        <w:t xml:space="preserve"> and concluded a tubular profile would offer optimum results, in particular because the ammunition lays flat</w:t>
      </w:r>
      <w:r w:rsidR="00130C27" w:rsidRPr="00DA04EE">
        <w:rPr>
          <w:rFonts w:ascii="Book Antiqua" w:hAnsi="Book Antiqua"/>
        </w:rPr>
        <w:t xml:space="preserve"> within it</w:t>
      </w:r>
      <w:r w:rsidR="00224BCF" w:rsidRPr="00DA04EE">
        <w:rPr>
          <w:rFonts w:ascii="Book Antiqua" w:hAnsi="Book Antiqua"/>
        </w:rPr>
        <w:t>,</w:t>
      </w:r>
      <w:r w:rsidR="00806E7F" w:rsidRPr="00DA04EE">
        <w:rPr>
          <w:rFonts w:ascii="Book Antiqua" w:hAnsi="Book Antiqua"/>
        </w:rPr>
        <w:t xml:space="preserve"> which</w:t>
      </w:r>
      <w:r w:rsidR="00130C27" w:rsidRPr="00DA04EE">
        <w:rPr>
          <w:rFonts w:ascii="Book Antiqua" w:hAnsi="Book Antiqua"/>
        </w:rPr>
        <w:t xml:space="preserve"> he says</w:t>
      </w:r>
      <w:r w:rsidR="00224BCF" w:rsidRPr="00DA04EE">
        <w:rPr>
          <w:rFonts w:ascii="Book Antiqua" w:hAnsi="Book Antiqua"/>
        </w:rPr>
        <w:t>:</w:t>
      </w:r>
      <w:r w:rsidR="00806E7F" w:rsidRPr="00DA04EE">
        <w:rPr>
          <w:rFonts w:ascii="Book Antiqua" w:hAnsi="Book Antiqua"/>
        </w:rPr>
        <w:t xml:space="preserve"> (i) was the correct positioning to allow uninterrupted delivery to the weapons feed tray; (ii) could be worn by the user in the </w:t>
      </w:r>
      <w:r w:rsidR="00224BCF" w:rsidRPr="00DA04EE">
        <w:rPr>
          <w:rFonts w:ascii="Book Antiqua" w:hAnsi="Book Antiqua"/>
        </w:rPr>
        <w:t>style of a c</w:t>
      </w:r>
      <w:r w:rsidR="00806E7F" w:rsidRPr="00DA04EE">
        <w:rPr>
          <w:rFonts w:ascii="Book Antiqua" w:hAnsi="Book Antiqua"/>
        </w:rPr>
        <w:t>ummerbund</w:t>
      </w:r>
      <w:r w:rsidR="00224BCF" w:rsidRPr="00DA04EE">
        <w:rPr>
          <w:rFonts w:ascii="Book Antiqua" w:hAnsi="Book Antiqua"/>
        </w:rPr>
        <w:t>, around the waist</w:t>
      </w:r>
      <w:r w:rsidR="00806E7F" w:rsidRPr="00DA04EE">
        <w:rPr>
          <w:rFonts w:ascii="Book Antiqua" w:hAnsi="Book Antiqua"/>
        </w:rPr>
        <w:t>; (iii) could be laid across the top cover of the GPMG, leaving the carry handle of the machine gun exposed to be manoeuvred as required; and (iv) enabled easy loading of, and access to, the ammunition.</w:t>
      </w:r>
      <w:r w:rsidR="00055997">
        <w:rPr>
          <w:rFonts w:ascii="Book Antiqua" w:hAnsi="Book Antiqua"/>
        </w:rPr>
        <w:t xml:space="preserve"> In fact the triangular profile of the Link-Tail is not mandated in GB’116, as the specification makes clear. It specifies that a flatter profile may be preferred, as long as it has the volume to take the ammunition required.</w:t>
      </w:r>
    </w:p>
    <w:p w14:paraId="1928BCA4" w14:textId="56514CD3" w:rsidR="00806E7F" w:rsidRPr="00DA04EE" w:rsidRDefault="00806E7F" w:rsidP="009E4653">
      <w:pPr>
        <w:pStyle w:val="ParaLevel1"/>
        <w:rPr>
          <w:rFonts w:ascii="Book Antiqua" w:hAnsi="Book Antiqua"/>
        </w:rPr>
      </w:pPr>
      <w:r w:rsidRPr="00DA04EE">
        <w:rPr>
          <w:rFonts w:ascii="Book Antiqua" w:hAnsi="Book Antiqua"/>
        </w:rPr>
        <w:t xml:space="preserve">In addition, </w:t>
      </w:r>
      <w:r w:rsidR="00055997">
        <w:rPr>
          <w:rFonts w:ascii="Book Antiqua" w:hAnsi="Book Antiqua"/>
        </w:rPr>
        <w:t>Mr Maclean describes that he</w:t>
      </w:r>
      <w:r w:rsidR="002F18A4" w:rsidRPr="00DA04EE">
        <w:rPr>
          <w:rFonts w:ascii="Book Antiqua" w:hAnsi="Book Antiqua"/>
        </w:rPr>
        <w:t>:</w:t>
      </w:r>
      <w:r w:rsidRPr="00DA04EE">
        <w:rPr>
          <w:rFonts w:ascii="Book Antiqua" w:hAnsi="Book Antiqua"/>
        </w:rPr>
        <w:t xml:space="preserve"> added a loop to secure the first round </w:t>
      </w:r>
      <w:r w:rsidR="00130C27" w:rsidRPr="00DA04EE">
        <w:rPr>
          <w:rFonts w:ascii="Book Antiqua" w:hAnsi="Book Antiqua"/>
        </w:rPr>
        <w:t>of</w:t>
      </w:r>
      <w:r w:rsidRPr="00DA04EE">
        <w:rPr>
          <w:rFonts w:ascii="Book Antiqua" w:hAnsi="Book Antiqua"/>
        </w:rPr>
        <w:t xml:space="preserve"> the linked ammunition</w:t>
      </w:r>
      <w:r w:rsidR="00130C27" w:rsidRPr="00DA04EE">
        <w:rPr>
          <w:rFonts w:ascii="Book Antiqua" w:hAnsi="Book Antiqua"/>
        </w:rPr>
        <w:t xml:space="preserve"> by the top opening</w:t>
      </w:r>
      <w:r w:rsidRPr="00DA04EE">
        <w:rPr>
          <w:rFonts w:ascii="Book Antiqua" w:hAnsi="Book Antiqua"/>
        </w:rPr>
        <w:t xml:space="preserve">, so it could be easily accessed </w:t>
      </w:r>
      <w:r w:rsidR="00130C27" w:rsidRPr="00DA04EE">
        <w:rPr>
          <w:rFonts w:ascii="Book Antiqua" w:hAnsi="Book Antiqua"/>
        </w:rPr>
        <w:t xml:space="preserve">to feed into the GMPG </w:t>
      </w:r>
      <w:r w:rsidRPr="00DA04EE">
        <w:rPr>
          <w:rFonts w:ascii="Book Antiqua" w:hAnsi="Book Antiqua"/>
        </w:rPr>
        <w:t>without the need</w:t>
      </w:r>
      <w:r w:rsidR="00130C27" w:rsidRPr="00DA04EE">
        <w:rPr>
          <w:rFonts w:ascii="Book Antiqua" w:hAnsi="Book Antiqua"/>
        </w:rPr>
        <w:t xml:space="preserve"> for</w:t>
      </w:r>
      <w:r w:rsidRPr="00DA04EE">
        <w:rPr>
          <w:rFonts w:ascii="Book Antiqua" w:hAnsi="Book Antiqua"/>
        </w:rPr>
        <w:t xml:space="preserve"> </w:t>
      </w:r>
      <w:r w:rsidR="00130C27" w:rsidRPr="00DA04EE">
        <w:rPr>
          <w:rFonts w:ascii="Book Antiqua" w:hAnsi="Book Antiqua"/>
        </w:rPr>
        <w:t>the user to look down and find it</w:t>
      </w:r>
      <w:r w:rsidR="002F18A4" w:rsidRPr="00DA04EE">
        <w:rPr>
          <w:rFonts w:ascii="Book Antiqua" w:hAnsi="Book Antiqua"/>
        </w:rPr>
        <w:t xml:space="preserve">; and tapered the </w:t>
      </w:r>
      <w:r w:rsidR="00055997">
        <w:rPr>
          <w:rFonts w:ascii="Book Antiqua" w:hAnsi="Book Antiqua"/>
        </w:rPr>
        <w:t xml:space="preserve">top </w:t>
      </w:r>
      <w:r w:rsidR="002F18A4" w:rsidRPr="00DA04EE">
        <w:rPr>
          <w:rFonts w:ascii="Book Antiqua" w:hAnsi="Book Antiqua"/>
        </w:rPr>
        <w:t>opening</w:t>
      </w:r>
      <w:r w:rsidR="00D10E2B">
        <w:rPr>
          <w:rFonts w:ascii="Book Antiqua" w:hAnsi="Book Antiqua"/>
        </w:rPr>
        <w:t xml:space="preserve"> outwards</w:t>
      </w:r>
      <w:r w:rsidR="002F18A4" w:rsidRPr="00DA04EE">
        <w:rPr>
          <w:rFonts w:ascii="Book Antiqua" w:hAnsi="Book Antiqua"/>
        </w:rPr>
        <w:t xml:space="preserve"> to ensure the ammunition was not restricted when being drawn into the weapon.  </w:t>
      </w:r>
    </w:p>
    <w:p w14:paraId="371CA794" w14:textId="5D75254D" w:rsidR="00B4322D" w:rsidRPr="00B4322D" w:rsidRDefault="002F18A4" w:rsidP="009E4653">
      <w:pPr>
        <w:pStyle w:val="ParaLevel1"/>
        <w:rPr>
          <w:rFonts w:ascii="Book Antiqua" w:hAnsi="Book Antiqua"/>
        </w:rPr>
      </w:pPr>
      <w:r w:rsidRPr="00DA04EE">
        <w:rPr>
          <w:rFonts w:ascii="Book Antiqua" w:hAnsi="Book Antiqua"/>
        </w:rPr>
        <w:t xml:space="preserve">Once the final design was completed, </w:t>
      </w:r>
      <w:r w:rsidR="00224BCF" w:rsidRPr="00DA04EE">
        <w:rPr>
          <w:rFonts w:ascii="Book Antiqua" w:hAnsi="Book Antiqua"/>
        </w:rPr>
        <w:t>Mr Maclean</w:t>
      </w:r>
      <w:r w:rsidRPr="00DA04EE">
        <w:rPr>
          <w:rFonts w:ascii="Book Antiqua" w:hAnsi="Book Antiqua"/>
        </w:rPr>
        <w:t xml:space="preserve"> applied for the </w:t>
      </w:r>
      <w:r w:rsidR="00C53655" w:rsidRPr="00DA04EE">
        <w:rPr>
          <w:rFonts w:ascii="Book Antiqua" w:hAnsi="Book Antiqua"/>
        </w:rPr>
        <w:t>patent, which</w:t>
      </w:r>
      <w:r w:rsidRPr="00DA04EE">
        <w:rPr>
          <w:rFonts w:ascii="Book Antiqua" w:hAnsi="Book Antiqua"/>
        </w:rPr>
        <w:t xml:space="preserve"> was eventually granted as GB’116, </w:t>
      </w:r>
      <w:r w:rsidR="0075537D" w:rsidRPr="00DA04EE">
        <w:rPr>
          <w:rFonts w:ascii="Book Antiqua" w:hAnsi="Book Antiqua"/>
        </w:rPr>
        <w:t>gave the design</w:t>
      </w:r>
      <w:r w:rsidR="00D10E2B">
        <w:rPr>
          <w:rFonts w:ascii="Book Antiqua" w:hAnsi="Book Antiqua"/>
        </w:rPr>
        <w:t>ed product</w:t>
      </w:r>
      <w:r w:rsidR="0075537D" w:rsidRPr="00DA04EE">
        <w:rPr>
          <w:rFonts w:ascii="Book Antiqua" w:hAnsi="Book Antiqua"/>
        </w:rPr>
        <w:t xml:space="preserve"> the </w:t>
      </w:r>
      <w:r w:rsidR="00D10E2B">
        <w:rPr>
          <w:rFonts w:ascii="Book Antiqua" w:hAnsi="Book Antiqua"/>
        </w:rPr>
        <w:t>name</w:t>
      </w:r>
      <w:r w:rsidR="0075537D" w:rsidRPr="00DA04EE">
        <w:rPr>
          <w:rFonts w:ascii="Book Antiqua" w:hAnsi="Book Antiqua"/>
        </w:rPr>
        <w:t xml:space="preserve"> ‘Link-Tail’</w:t>
      </w:r>
      <w:r w:rsidRPr="00DA04EE">
        <w:rPr>
          <w:rFonts w:ascii="Book Antiqua" w:hAnsi="Book Antiqua"/>
        </w:rPr>
        <w:t xml:space="preserve"> and submitted it into the URBEX 2012 competition.</w:t>
      </w:r>
      <w:r w:rsidR="00BC5967" w:rsidRPr="00DA04EE">
        <w:rPr>
          <w:rFonts w:ascii="Book Antiqua" w:hAnsi="Book Antiqua"/>
        </w:rPr>
        <w:t xml:space="preserve">  The Link-Tail </w:t>
      </w:r>
      <w:r w:rsidR="0075537D" w:rsidRPr="00DA04EE">
        <w:rPr>
          <w:rFonts w:ascii="Book Antiqua" w:hAnsi="Book Antiqua"/>
        </w:rPr>
        <w:t>passed through</w:t>
      </w:r>
      <w:r w:rsidR="00BC5967" w:rsidRPr="00DA04EE">
        <w:rPr>
          <w:rFonts w:ascii="Book Antiqua" w:hAnsi="Book Antiqua"/>
        </w:rPr>
        <w:t xml:space="preserve"> all stages at URBEX 2012 and was positively evaluated</w:t>
      </w:r>
      <w:r w:rsidR="00B4322D">
        <w:rPr>
          <w:rFonts w:ascii="Book Antiqua" w:hAnsi="Book Antiqua"/>
        </w:rPr>
        <w:t xml:space="preserve">. </w:t>
      </w:r>
      <w:r w:rsidR="00BA005A">
        <w:rPr>
          <w:rFonts w:ascii="Book Antiqua" w:hAnsi="Book Antiqua"/>
        </w:rPr>
        <w:t>The report summarises it as a cost effective, lightweight, link stowage solution which allows the link to be stored away from dust and grime</w:t>
      </w:r>
      <w:r w:rsidR="0059497E">
        <w:rPr>
          <w:rFonts w:ascii="Book Antiqua" w:hAnsi="Book Antiqua"/>
        </w:rPr>
        <w:t xml:space="preserve"> and</w:t>
      </w:r>
      <w:r w:rsidR="00BA005A">
        <w:rPr>
          <w:rFonts w:ascii="Book Antiqua" w:hAnsi="Book Antiqua"/>
        </w:rPr>
        <w:t xml:space="preserve"> allows snag-f</w:t>
      </w:r>
      <w:r w:rsidR="0059497E">
        <w:rPr>
          <w:rFonts w:ascii="Book Antiqua" w:hAnsi="Book Antiqua"/>
        </w:rPr>
        <w:t xml:space="preserve">ree feeding direct from the bag. </w:t>
      </w:r>
      <w:r w:rsidR="00BA005A">
        <w:rPr>
          <w:rFonts w:ascii="Book Antiqua" w:hAnsi="Book Antiqua"/>
        </w:rPr>
        <w:t xml:space="preserve">It identified that it reduced the chance of misfeeds from twisted ammunition and </w:t>
      </w:r>
      <w:r w:rsidR="0059497E">
        <w:rPr>
          <w:rFonts w:ascii="Book Antiqua" w:hAnsi="Book Antiqua"/>
        </w:rPr>
        <w:t xml:space="preserve">enabled resupply of link from other members of the squad </w:t>
      </w:r>
      <w:r w:rsidR="00BA005A">
        <w:rPr>
          <w:rFonts w:ascii="Book Antiqua" w:hAnsi="Book Antiqua"/>
        </w:rPr>
        <w:t xml:space="preserve">to the machine gunner </w:t>
      </w:r>
      <w:r w:rsidR="0059497E">
        <w:rPr>
          <w:rFonts w:ascii="Book Antiqua" w:hAnsi="Book Antiqua"/>
        </w:rPr>
        <w:t>with more speed and ease</w:t>
      </w:r>
      <w:r w:rsidR="00BA005A">
        <w:rPr>
          <w:rFonts w:ascii="Book Antiqua" w:hAnsi="Book Antiqua"/>
        </w:rPr>
        <w:t xml:space="preserve">. </w:t>
      </w:r>
      <w:r w:rsidR="0059497E">
        <w:rPr>
          <w:rFonts w:ascii="Book Antiqua" w:hAnsi="Book Antiqua"/>
        </w:rPr>
        <w:t>Ease of use was noted as being excellent, however i</w:t>
      </w:r>
      <w:r w:rsidR="00BA005A">
        <w:rPr>
          <w:rFonts w:ascii="Book Antiqua" w:hAnsi="Book Antiqua"/>
        </w:rPr>
        <w:t xml:space="preserve">t noted that care was required in loading the link to ensure that the link was presented to the gun correctly, i.e. </w:t>
      </w:r>
      <w:r w:rsidR="00413300">
        <w:rPr>
          <w:rFonts w:ascii="Book Antiqua" w:hAnsi="Book Antiqua"/>
        </w:rPr>
        <w:t>link</w:t>
      </w:r>
      <w:r w:rsidR="00BA005A">
        <w:rPr>
          <w:rFonts w:ascii="Book Antiqua" w:hAnsi="Book Antiqua"/>
        </w:rPr>
        <w:t xml:space="preserve"> side up. It noted that a hand drawn marker pen diagram inside the link tail helped unfamiliar users to ensure the link was loaded the correct way first time, so suggested that a clear diagram be added to the product. It also suggested that a strap be added </w:t>
      </w:r>
      <w:r w:rsidR="0059497E">
        <w:rPr>
          <w:rFonts w:ascii="Book Antiqua" w:hAnsi="Book Antiqua"/>
        </w:rPr>
        <w:t xml:space="preserve">to enable it to </w:t>
      </w:r>
      <w:r w:rsidR="00BA005A">
        <w:rPr>
          <w:rFonts w:ascii="Book Antiqua" w:hAnsi="Book Antiqua"/>
        </w:rPr>
        <w:t>be carried bandolier-style.</w:t>
      </w:r>
    </w:p>
    <w:p w14:paraId="1BDDE30E" w14:textId="542D0E4E" w:rsidR="002F18A4" w:rsidRPr="00DA04EE" w:rsidRDefault="00BC5967" w:rsidP="009E4653">
      <w:pPr>
        <w:pStyle w:val="ParaLevel1"/>
        <w:rPr>
          <w:rFonts w:ascii="Book Antiqua" w:hAnsi="Book Antiqua"/>
        </w:rPr>
      </w:pPr>
      <w:r w:rsidRPr="00DA04EE">
        <w:rPr>
          <w:rFonts w:ascii="Book Antiqua" w:hAnsi="Book Antiqua"/>
        </w:rPr>
        <w:t>Following URBEX 2012</w:t>
      </w:r>
      <w:r w:rsidR="0075537D" w:rsidRPr="00DA04EE">
        <w:rPr>
          <w:rFonts w:ascii="Book Antiqua" w:hAnsi="Book Antiqua"/>
        </w:rPr>
        <w:t>,</w:t>
      </w:r>
      <w:r w:rsidRPr="00DA04EE">
        <w:rPr>
          <w:rFonts w:ascii="Book Antiqua" w:hAnsi="Book Antiqua"/>
        </w:rPr>
        <w:t xml:space="preserve"> the Commanding Officer of the Infantry Trials and </w:t>
      </w:r>
      <w:r w:rsidR="0075537D" w:rsidRPr="00DA04EE">
        <w:rPr>
          <w:rFonts w:ascii="Book Antiqua" w:hAnsi="Book Antiqua"/>
        </w:rPr>
        <w:t>Development Unit</w:t>
      </w:r>
      <w:r w:rsidRPr="00DA04EE">
        <w:rPr>
          <w:rFonts w:ascii="Book Antiqua" w:hAnsi="Book Antiqua"/>
        </w:rPr>
        <w:t xml:space="preserve"> (“</w:t>
      </w:r>
      <w:r w:rsidRPr="00413300">
        <w:rPr>
          <w:rFonts w:ascii="Book Antiqua" w:hAnsi="Book Antiqua"/>
          <w:b/>
        </w:rPr>
        <w:t>ITDU</w:t>
      </w:r>
      <w:r w:rsidR="0075537D" w:rsidRPr="00DA04EE">
        <w:rPr>
          <w:rFonts w:ascii="Book Antiqua" w:hAnsi="Book Antiqua"/>
        </w:rPr>
        <w:t>”)</w:t>
      </w:r>
      <w:r w:rsidRPr="00DA04EE">
        <w:rPr>
          <w:rFonts w:ascii="Book Antiqua" w:hAnsi="Book Antiqua"/>
        </w:rPr>
        <w:t xml:space="preserve"> took samples of the Link-Tail to Afghanistan for evaluation and testing in-theatre.</w:t>
      </w:r>
      <w:r w:rsidR="0075537D" w:rsidRPr="00DA04EE">
        <w:rPr>
          <w:rFonts w:ascii="Book Antiqua" w:hAnsi="Book Antiqua"/>
        </w:rPr>
        <w:t xml:space="preserve"> </w:t>
      </w:r>
      <w:r w:rsidR="00055997">
        <w:rPr>
          <w:rFonts w:ascii="Book Antiqua" w:hAnsi="Book Antiqua"/>
        </w:rPr>
        <w:t xml:space="preserve">Excel added to these samples a marker patch of the type recommended by the URBEX 2012 report. </w:t>
      </w:r>
      <w:r w:rsidR="0075537D" w:rsidRPr="00DA04EE">
        <w:rPr>
          <w:rFonts w:ascii="Book Antiqua" w:hAnsi="Book Antiqua"/>
        </w:rPr>
        <w:t xml:space="preserve">Afterwards, Mr Maclean was told in an email from the URBEX 2012 Manager that </w:t>
      </w:r>
      <w:r w:rsidR="0075537D" w:rsidRPr="00DA04EE">
        <w:rPr>
          <w:rFonts w:ascii="Book Antiqua" w:hAnsi="Book Antiqua"/>
          <w:i/>
        </w:rPr>
        <w:t>“Results have been very positive and limited follow on procurement action is now planned (without commitment / without prejudice)/ I have supplied your POC details to Personal Combat Equipment (PCE) Project Team… and Theatre… for action”</w:t>
      </w:r>
      <w:r w:rsidR="0075537D" w:rsidRPr="00DA04EE">
        <w:rPr>
          <w:rFonts w:ascii="Book Antiqua" w:hAnsi="Book Antiqua"/>
        </w:rPr>
        <w:t xml:space="preserve">. </w:t>
      </w:r>
      <w:r w:rsidR="002F18A4" w:rsidRPr="00DA04EE">
        <w:rPr>
          <w:rFonts w:ascii="Book Antiqua" w:hAnsi="Book Antiqua"/>
        </w:rPr>
        <w:t xml:space="preserve"> </w:t>
      </w:r>
    </w:p>
    <w:p w14:paraId="2C9835C8" w14:textId="67479BCF" w:rsidR="005053F9" w:rsidRPr="00DA04EE" w:rsidRDefault="0075537D" w:rsidP="009E4653">
      <w:pPr>
        <w:pStyle w:val="ParaLevel1"/>
        <w:rPr>
          <w:rFonts w:ascii="Book Antiqua" w:hAnsi="Book Antiqua"/>
        </w:rPr>
      </w:pPr>
      <w:r w:rsidRPr="00DA04EE">
        <w:rPr>
          <w:rFonts w:ascii="Book Antiqua" w:hAnsi="Book Antiqua"/>
        </w:rPr>
        <w:t>In early 2013 Mr Maclean became aware of MoD’s Project Virtus, the stated aim of which was to completely re</w:t>
      </w:r>
      <w:r w:rsidR="00CB40C4" w:rsidRPr="00DA04EE">
        <w:rPr>
          <w:rFonts w:ascii="Book Antiqua" w:hAnsi="Book Antiqua"/>
        </w:rPr>
        <w:t>p</w:t>
      </w:r>
      <w:r w:rsidRPr="00DA04EE">
        <w:rPr>
          <w:rFonts w:ascii="Book Antiqua" w:hAnsi="Book Antiqua"/>
        </w:rPr>
        <w:t>lace all of the various component pieces of the soldier man worn system (equipment, webbing, load carriage and armour)</w:t>
      </w:r>
      <w:r w:rsidR="00DF08E1" w:rsidRPr="00DA04EE">
        <w:rPr>
          <w:rFonts w:ascii="Book Antiqua" w:hAnsi="Book Antiqua"/>
        </w:rPr>
        <w:t xml:space="preserve"> with a fully integrated soldier system</w:t>
      </w:r>
      <w:r w:rsidR="00055997">
        <w:rPr>
          <w:rFonts w:ascii="Book Antiqua" w:hAnsi="Book Antiqua"/>
        </w:rPr>
        <w:t xml:space="preserve"> (“</w:t>
      </w:r>
      <w:r w:rsidR="00055997" w:rsidRPr="00055997">
        <w:rPr>
          <w:rFonts w:ascii="Book Antiqua" w:hAnsi="Book Antiqua"/>
          <w:b/>
        </w:rPr>
        <w:t>ISS</w:t>
      </w:r>
      <w:r w:rsidR="00055997">
        <w:rPr>
          <w:rFonts w:ascii="Book Antiqua" w:hAnsi="Book Antiqua"/>
        </w:rPr>
        <w:t>”)</w:t>
      </w:r>
      <w:r w:rsidRPr="00DA04EE">
        <w:rPr>
          <w:rFonts w:ascii="Book Antiqua" w:hAnsi="Book Antiqua"/>
        </w:rPr>
        <w:t>.</w:t>
      </w:r>
      <w:r w:rsidR="00C27D27" w:rsidRPr="00DA04EE">
        <w:rPr>
          <w:rFonts w:ascii="Book Antiqua" w:hAnsi="Book Antiqua"/>
        </w:rPr>
        <w:t xml:space="preserve"> In February 2013 he attended the Virtus Industry Day</w:t>
      </w:r>
      <w:r w:rsidR="005053F9" w:rsidRPr="00DA04EE">
        <w:rPr>
          <w:rFonts w:ascii="Book Antiqua" w:hAnsi="Book Antiqua"/>
        </w:rPr>
        <w:t xml:space="preserve"> during which he was told that </w:t>
      </w:r>
      <w:r w:rsidR="005053F9" w:rsidRPr="00DA04EE">
        <w:rPr>
          <w:rFonts w:ascii="Book Antiqua" w:hAnsi="Book Antiqua"/>
          <w:i/>
        </w:rPr>
        <w:t>“the Link-Tail is part of Virtus”</w:t>
      </w:r>
      <w:r w:rsidR="00224BCF" w:rsidRPr="00DA04EE">
        <w:rPr>
          <w:rFonts w:ascii="Book Antiqua" w:hAnsi="Book Antiqua"/>
        </w:rPr>
        <w:t>. At the end of the Virtus Industry Day,</w:t>
      </w:r>
      <w:r w:rsidR="005053F9" w:rsidRPr="00DA04EE">
        <w:rPr>
          <w:rFonts w:ascii="Book Antiqua" w:hAnsi="Book Antiqua"/>
        </w:rPr>
        <w:t xml:space="preserve"> he was provided with a copy of the draft System Requirement Document </w:t>
      </w:r>
      <w:r w:rsidR="00224BCF" w:rsidRPr="00DA04EE">
        <w:rPr>
          <w:rFonts w:ascii="Book Antiqua" w:hAnsi="Book Antiqua"/>
        </w:rPr>
        <w:t xml:space="preserve">(“SRD”) </w:t>
      </w:r>
      <w:r w:rsidR="005053F9" w:rsidRPr="00DA04EE">
        <w:rPr>
          <w:rFonts w:ascii="Book Antiqua" w:hAnsi="Book Antiqua"/>
        </w:rPr>
        <w:t xml:space="preserve">for Virtus, in which he found that category </w:t>
      </w:r>
      <w:r w:rsidR="00C53C2D" w:rsidRPr="00DA04EE">
        <w:rPr>
          <w:rFonts w:ascii="Book Antiqua" w:hAnsi="Book Antiqua"/>
        </w:rPr>
        <w:t>SRD</w:t>
      </w:r>
      <w:r w:rsidR="00413300">
        <w:rPr>
          <w:rFonts w:ascii="Book Antiqua" w:hAnsi="Book Antiqua"/>
        </w:rPr>
        <w:t xml:space="preserve"> </w:t>
      </w:r>
      <w:r w:rsidR="00C53C2D" w:rsidRPr="00DA04EE">
        <w:rPr>
          <w:rFonts w:ascii="Book Antiqua" w:hAnsi="Book Antiqua"/>
        </w:rPr>
        <w:t>338</w:t>
      </w:r>
      <w:r w:rsidR="005053F9" w:rsidRPr="00DA04EE">
        <w:rPr>
          <w:rFonts w:ascii="Book Antiqua" w:hAnsi="Book Antiqua"/>
        </w:rPr>
        <w:t xml:space="preserve"> sought a system that could:</w:t>
      </w:r>
    </w:p>
    <w:p w14:paraId="4539D12A" w14:textId="6E715C02" w:rsidR="005053F9" w:rsidRPr="00DA04EE" w:rsidRDefault="005053F9" w:rsidP="009E4653">
      <w:pPr>
        <w:pStyle w:val="ParaLevel2"/>
        <w:rPr>
          <w:rFonts w:ascii="Book Antiqua" w:hAnsi="Book Antiqua"/>
        </w:rPr>
      </w:pPr>
      <w:r w:rsidRPr="00DA04EE">
        <w:rPr>
          <w:rFonts w:ascii="Book Antiqua" w:hAnsi="Book Antiqua"/>
        </w:rPr>
        <w:t>Facilitate the carriage of link</w:t>
      </w:r>
      <w:r w:rsidR="00D10E2B">
        <w:rPr>
          <w:rFonts w:ascii="Book Antiqua" w:hAnsi="Book Antiqua"/>
        </w:rPr>
        <w:t>ed</w:t>
      </w:r>
      <w:r w:rsidRPr="00DA04EE">
        <w:rPr>
          <w:rFonts w:ascii="Book Antiqua" w:hAnsi="Book Antiqua"/>
        </w:rPr>
        <w:t xml:space="preserve"> ammunition</w:t>
      </w:r>
      <w:r w:rsidR="00D10E2B">
        <w:rPr>
          <w:rFonts w:ascii="Book Antiqua" w:hAnsi="Book Antiqua"/>
        </w:rPr>
        <w:t>;</w:t>
      </w:r>
    </w:p>
    <w:p w14:paraId="01F50D65" w14:textId="77777777" w:rsidR="005053F9" w:rsidRPr="00DA04EE" w:rsidRDefault="005053F9" w:rsidP="009E4653">
      <w:pPr>
        <w:pStyle w:val="ParaLevel2"/>
        <w:rPr>
          <w:rFonts w:ascii="Book Antiqua" w:hAnsi="Book Antiqua"/>
        </w:rPr>
      </w:pPr>
      <w:r w:rsidRPr="00DA04EE">
        <w:rPr>
          <w:rFonts w:ascii="Book Antiqua" w:hAnsi="Book Antiqua"/>
        </w:rPr>
        <w:t>Securely hold and protect ready for use 200 rounds of 5.56mm or 7.62mm linked ammunition;</w:t>
      </w:r>
    </w:p>
    <w:p w14:paraId="53887A7C" w14:textId="77777777" w:rsidR="005053F9" w:rsidRPr="00DA04EE" w:rsidRDefault="005053F9" w:rsidP="009E4653">
      <w:pPr>
        <w:pStyle w:val="ParaLevel2"/>
        <w:rPr>
          <w:rFonts w:ascii="Book Antiqua" w:hAnsi="Book Antiqua"/>
        </w:rPr>
      </w:pPr>
      <w:r w:rsidRPr="00DA04EE">
        <w:rPr>
          <w:rFonts w:ascii="Book Antiqua" w:hAnsi="Book Antiqua"/>
        </w:rPr>
        <w:t>Allow ammunition to be fed onto the feed tray of a weapon system directly from the load carrying system;</w:t>
      </w:r>
    </w:p>
    <w:p w14:paraId="50BB35D5" w14:textId="77777777" w:rsidR="005053F9" w:rsidRPr="00DA04EE" w:rsidRDefault="005053F9" w:rsidP="009E4653">
      <w:pPr>
        <w:pStyle w:val="ParaLevel2"/>
        <w:rPr>
          <w:rFonts w:ascii="Book Antiqua" w:hAnsi="Book Antiqua"/>
        </w:rPr>
      </w:pPr>
      <w:r w:rsidRPr="00DA04EE">
        <w:rPr>
          <w:rFonts w:ascii="Book Antiqua" w:hAnsi="Book Antiqua"/>
        </w:rPr>
        <w:t>Allow ammunition to be readily available and carried over the shoulder similar to a bandolier.</w:t>
      </w:r>
    </w:p>
    <w:p w14:paraId="652B795F" w14:textId="3F5E09A2" w:rsidR="0059497E" w:rsidRDefault="005053F9" w:rsidP="009E4653">
      <w:pPr>
        <w:pStyle w:val="ParaLevel1"/>
        <w:rPr>
          <w:rFonts w:ascii="Book Antiqua" w:hAnsi="Book Antiqua"/>
        </w:rPr>
      </w:pPr>
      <w:r w:rsidRPr="00DA04EE">
        <w:rPr>
          <w:rFonts w:ascii="Book Antiqua" w:hAnsi="Book Antiqua"/>
        </w:rPr>
        <w:t xml:space="preserve">Mr Maclean’s evidence was that it was clear to him that the requirement was describing the Link-Tail, and the key features described were those which he had designed and which were highlighted in the URBEX 2012 report following evaluation and testing by ITDU. </w:t>
      </w:r>
      <w:r w:rsidR="00C27D27" w:rsidRPr="00DA04EE">
        <w:rPr>
          <w:rFonts w:ascii="Book Antiqua" w:hAnsi="Book Antiqua"/>
        </w:rPr>
        <w:t xml:space="preserve"> </w:t>
      </w:r>
      <w:r w:rsidRPr="00DA04EE">
        <w:rPr>
          <w:rFonts w:ascii="Book Antiqua" w:hAnsi="Book Antiqua"/>
        </w:rPr>
        <w:t xml:space="preserve">The only difference was that the SRD envisaged it being carried bandolier-style </w:t>
      </w:r>
      <w:r w:rsidR="00224BCF" w:rsidRPr="00DA04EE">
        <w:rPr>
          <w:rFonts w:ascii="Book Antiqua" w:hAnsi="Book Antiqua"/>
        </w:rPr>
        <w:t xml:space="preserve">over one shoulder </w:t>
      </w:r>
      <w:r w:rsidRPr="00DA04EE">
        <w:rPr>
          <w:rFonts w:ascii="Book Antiqua" w:hAnsi="Book Antiqua"/>
        </w:rPr>
        <w:t>rather than as a cummerbund</w:t>
      </w:r>
      <w:r w:rsidR="0059497E">
        <w:rPr>
          <w:rFonts w:ascii="Book Antiqua" w:hAnsi="Book Antiqua"/>
        </w:rPr>
        <w:t xml:space="preserve"> or in a rucksack or </w:t>
      </w:r>
      <w:r w:rsidR="00C53655">
        <w:rPr>
          <w:rFonts w:ascii="Book Antiqua" w:hAnsi="Book Antiqua"/>
        </w:rPr>
        <w:t>daypack</w:t>
      </w:r>
      <w:r w:rsidRPr="00DA04EE">
        <w:rPr>
          <w:rFonts w:ascii="Book Antiqua" w:hAnsi="Book Antiqua"/>
        </w:rPr>
        <w:t xml:space="preserve">. </w:t>
      </w:r>
      <w:r w:rsidR="002E6535" w:rsidRPr="00DA04EE">
        <w:rPr>
          <w:rFonts w:ascii="Book Antiqua" w:hAnsi="Book Antiqua"/>
        </w:rPr>
        <w:t xml:space="preserve">Mr Maclean determined that this could be managed by a minor change to the design to add a tensioning strap to prevent pooling of the ammunition in </w:t>
      </w:r>
      <w:r w:rsidR="00224BCF" w:rsidRPr="00DA04EE">
        <w:rPr>
          <w:rFonts w:ascii="Book Antiqua" w:hAnsi="Book Antiqua"/>
        </w:rPr>
        <w:t xml:space="preserve">the base of </w:t>
      </w:r>
      <w:r w:rsidR="002E6535" w:rsidRPr="00DA04EE">
        <w:rPr>
          <w:rFonts w:ascii="Book Antiqua" w:hAnsi="Book Antiqua"/>
        </w:rPr>
        <w:t>the Link-Tail</w:t>
      </w:r>
      <w:r w:rsidR="0059497E">
        <w:rPr>
          <w:rFonts w:ascii="Book Antiqua" w:hAnsi="Book Antiqua"/>
        </w:rPr>
        <w:t xml:space="preserve"> (see Image 5 below)</w:t>
      </w:r>
      <w:r w:rsidR="002E6535" w:rsidRPr="00DA04EE">
        <w:rPr>
          <w:rFonts w:ascii="Book Antiqua" w:hAnsi="Book Antiqua"/>
        </w:rPr>
        <w:t>. This modified design is the basis for what became GB’562.</w:t>
      </w:r>
    </w:p>
    <w:p w14:paraId="6EC3A948" w14:textId="2E4FD3AB" w:rsidR="0059497E" w:rsidRPr="0059497E" w:rsidRDefault="004179D7" w:rsidP="009E4653">
      <w:pPr>
        <w:pStyle w:val="ParaLevel1"/>
        <w:numPr>
          <w:ilvl w:val="0"/>
          <w:numId w:val="0"/>
        </w:numPr>
        <w:ind w:left="1582" w:hanging="720"/>
        <w:rPr>
          <w:rFonts w:ascii="Book Antiqua" w:hAnsi="Book Antiqua"/>
        </w:rPr>
      </w:pPr>
      <w:r>
        <w:rPr>
          <w:rFonts w:ascii="Book Antiqua" w:hAnsi="Book Antiqua"/>
          <w:noProof/>
          <w:lang w:val="nl-NL" w:eastAsia="nl-NL"/>
        </w:rPr>
        <w:drawing>
          <wp:inline distT="0" distB="0" distL="0" distR="0" wp14:anchorId="377D9798" wp14:editId="4185EC23">
            <wp:extent cx="3778176" cy="26289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778518" cy="2629138"/>
                    </a:xfrm>
                    <a:prstGeom prst="rect">
                      <a:avLst/>
                    </a:prstGeom>
                    <a:noFill/>
                    <a:ln>
                      <a:noFill/>
                    </a:ln>
                  </pic:spPr>
                </pic:pic>
              </a:graphicData>
            </a:graphic>
          </wp:inline>
        </w:drawing>
      </w:r>
    </w:p>
    <w:p w14:paraId="20DDD9F4" w14:textId="3DFB7540" w:rsidR="00C27D27" w:rsidRPr="00DA04EE" w:rsidRDefault="002E6535" w:rsidP="009E4653">
      <w:pPr>
        <w:pStyle w:val="ParaLevel1"/>
        <w:rPr>
          <w:rFonts w:ascii="Book Antiqua" w:hAnsi="Book Antiqua"/>
        </w:rPr>
      </w:pPr>
      <w:r w:rsidRPr="00DA04EE">
        <w:rPr>
          <w:rFonts w:ascii="Book Antiqua" w:hAnsi="Book Antiqua"/>
        </w:rPr>
        <w:t xml:space="preserve">Mr Maclean learnt that Virtus would be procured by the MoD via a </w:t>
      </w:r>
      <w:r w:rsidR="00130C27" w:rsidRPr="00DA04EE">
        <w:rPr>
          <w:rFonts w:ascii="Book Antiqua" w:hAnsi="Book Antiqua"/>
        </w:rPr>
        <w:t xml:space="preserve">single </w:t>
      </w:r>
      <w:r w:rsidRPr="00DA04EE">
        <w:rPr>
          <w:rFonts w:ascii="Book Antiqua" w:hAnsi="Book Antiqua"/>
        </w:rPr>
        <w:t xml:space="preserve">Prime Contractor. On 13 September 2013, </w:t>
      </w:r>
      <w:r w:rsidR="00413300">
        <w:rPr>
          <w:rFonts w:ascii="Book Antiqua" w:hAnsi="Book Antiqua"/>
        </w:rPr>
        <w:t xml:space="preserve">the </w:t>
      </w:r>
      <w:r w:rsidRPr="00DA04EE">
        <w:rPr>
          <w:rFonts w:ascii="Book Antiqua" w:hAnsi="Book Antiqua"/>
        </w:rPr>
        <w:t xml:space="preserve">MoD published the list </w:t>
      </w:r>
      <w:r w:rsidR="00413300">
        <w:rPr>
          <w:rFonts w:ascii="Book Antiqua" w:hAnsi="Book Antiqua"/>
        </w:rPr>
        <w:t>of</w:t>
      </w:r>
      <w:r w:rsidRPr="00DA04EE">
        <w:rPr>
          <w:rFonts w:ascii="Book Antiqua" w:hAnsi="Book Antiqua"/>
        </w:rPr>
        <w:t xml:space="preserve"> four companies invited to tender for this role. One of them was Source. Excel</w:t>
      </w:r>
      <w:r w:rsidR="00C53C2D" w:rsidRPr="00DA04EE">
        <w:rPr>
          <w:rFonts w:ascii="Book Antiqua" w:hAnsi="Book Antiqua"/>
        </w:rPr>
        <w:t xml:space="preserve"> </w:t>
      </w:r>
      <w:r w:rsidR="00130C27" w:rsidRPr="00DA04EE">
        <w:rPr>
          <w:rFonts w:ascii="Book Antiqua" w:hAnsi="Book Antiqua"/>
        </w:rPr>
        <w:t>contacted</w:t>
      </w:r>
      <w:r w:rsidR="00C53C2D" w:rsidRPr="00DA04EE">
        <w:rPr>
          <w:rFonts w:ascii="Book Antiqua" w:hAnsi="Book Antiqua"/>
        </w:rPr>
        <w:t xml:space="preserve"> all of them </w:t>
      </w:r>
      <w:r w:rsidR="00130C27" w:rsidRPr="00DA04EE">
        <w:rPr>
          <w:rFonts w:ascii="Book Antiqua" w:hAnsi="Book Antiqua"/>
        </w:rPr>
        <w:t xml:space="preserve">by email offering the Link-Tail as a solution to meet SRD 338. The other three responded quickly and Excel </w:t>
      </w:r>
      <w:r w:rsidRPr="00DA04EE">
        <w:rPr>
          <w:rFonts w:ascii="Book Antiqua" w:hAnsi="Book Antiqua"/>
        </w:rPr>
        <w:t xml:space="preserve">entered into NDAs with </w:t>
      </w:r>
      <w:r w:rsidR="00130C27" w:rsidRPr="00DA04EE">
        <w:rPr>
          <w:rFonts w:ascii="Book Antiqua" w:hAnsi="Book Antiqua"/>
        </w:rPr>
        <w:t>them</w:t>
      </w:r>
      <w:r w:rsidR="00062C8E" w:rsidRPr="00DA04EE">
        <w:rPr>
          <w:rFonts w:ascii="Book Antiqua" w:hAnsi="Book Antiqua"/>
        </w:rPr>
        <w:t xml:space="preserve"> </w:t>
      </w:r>
      <w:r w:rsidRPr="00DA04EE">
        <w:rPr>
          <w:rFonts w:ascii="Book Antiqua" w:hAnsi="Book Antiqua"/>
        </w:rPr>
        <w:t>and their respective manufacturers</w:t>
      </w:r>
      <w:r w:rsidR="00631D4F" w:rsidRPr="00DA04EE">
        <w:rPr>
          <w:rFonts w:ascii="Book Antiqua" w:hAnsi="Book Antiqua"/>
        </w:rPr>
        <w:t>.</w:t>
      </w:r>
    </w:p>
    <w:p w14:paraId="03A60119" w14:textId="12C50F6C" w:rsidR="00C50DBD" w:rsidRPr="00DA04EE" w:rsidRDefault="00631D4F" w:rsidP="009E4653">
      <w:pPr>
        <w:pStyle w:val="ParaLevel1"/>
        <w:rPr>
          <w:rFonts w:ascii="Book Antiqua" w:hAnsi="Book Antiqua"/>
        </w:rPr>
      </w:pPr>
      <w:r w:rsidRPr="00DA04EE">
        <w:rPr>
          <w:rFonts w:ascii="Book Antiqua" w:hAnsi="Book Antiqua"/>
        </w:rPr>
        <w:t>Mr Ronny Arazi, the CEO of Source</w:t>
      </w:r>
      <w:r w:rsidR="0086052C" w:rsidRPr="00DA04EE">
        <w:rPr>
          <w:rFonts w:ascii="Book Antiqua" w:hAnsi="Book Antiqua"/>
        </w:rPr>
        <w:t>, telephoned Mr Maclean</w:t>
      </w:r>
      <w:r w:rsidRPr="00DA04EE">
        <w:rPr>
          <w:rFonts w:ascii="Book Antiqua" w:hAnsi="Book Antiqua"/>
        </w:rPr>
        <w:t xml:space="preserve"> on 1 October 2013. They discussed the Link-Tail and Mr Maclean emailed him some marketing materials</w:t>
      </w:r>
      <w:r w:rsidR="0086052C" w:rsidRPr="00DA04EE">
        <w:rPr>
          <w:rFonts w:ascii="Book Antiqua" w:hAnsi="Book Antiqua"/>
        </w:rPr>
        <w:t xml:space="preserve"> about it</w:t>
      </w:r>
      <w:r w:rsidRPr="00DA04EE">
        <w:rPr>
          <w:rFonts w:ascii="Book Antiqua" w:hAnsi="Book Antiqua"/>
        </w:rPr>
        <w:t xml:space="preserve">. </w:t>
      </w:r>
      <w:r w:rsidR="00C53C2D" w:rsidRPr="00DA04EE">
        <w:rPr>
          <w:rFonts w:ascii="Book Antiqua" w:hAnsi="Book Antiqua"/>
        </w:rPr>
        <w:t>Although Mr Maclean sent a chasing/</w:t>
      </w:r>
      <w:r w:rsidR="00C53655" w:rsidRPr="00DA04EE">
        <w:rPr>
          <w:rFonts w:ascii="Book Antiqua" w:hAnsi="Book Antiqua"/>
        </w:rPr>
        <w:t>follow-up</w:t>
      </w:r>
      <w:r w:rsidR="00C53C2D" w:rsidRPr="00DA04EE">
        <w:rPr>
          <w:rFonts w:ascii="Book Antiqua" w:hAnsi="Book Antiqua"/>
        </w:rPr>
        <w:t xml:space="preserve"> email in early December 2013, </w:t>
      </w:r>
      <w:r w:rsidRPr="00DA04EE">
        <w:rPr>
          <w:rFonts w:ascii="Book Antiqua" w:hAnsi="Book Antiqua"/>
        </w:rPr>
        <w:t>Source did not contact him again until 17 December 2013</w:t>
      </w:r>
      <w:r w:rsidR="0086052C" w:rsidRPr="00DA04EE">
        <w:rPr>
          <w:rFonts w:ascii="Book Antiqua" w:hAnsi="Book Antiqua"/>
        </w:rPr>
        <w:t>,</w:t>
      </w:r>
      <w:r w:rsidRPr="00DA04EE">
        <w:rPr>
          <w:rFonts w:ascii="Book Antiqua" w:hAnsi="Book Antiqua"/>
        </w:rPr>
        <w:t xml:space="preserve"> when </w:t>
      </w:r>
      <w:r w:rsidR="0086052C" w:rsidRPr="00DA04EE">
        <w:rPr>
          <w:rFonts w:ascii="Book Antiqua" w:hAnsi="Book Antiqua"/>
        </w:rPr>
        <w:t>Mr Maclean</w:t>
      </w:r>
      <w:r w:rsidRPr="00DA04EE">
        <w:rPr>
          <w:rFonts w:ascii="Book Antiqua" w:hAnsi="Book Antiqua"/>
        </w:rPr>
        <w:t xml:space="preserve"> received an email from Mr Gill,</w:t>
      </w:r>
      <w:r w:rsidR="0086052C" w:rsidRPr="00DA04EE">
        <w:rPr>
          <w:rFonts w:ascii="Book Antiqua" w:hAnsi="Book Antiqua"/>
        </w:rPr>
        <w:t xml:space="preserve"> who</w:t>
      </w:r>
      <w:r w:rsidRPr="00DA04EE">
        <w:rPr>
          <w:rFonts w:ascii="Book Antiqua" w:hAnsi="Book Antiqua"/>
        </w:rPr>
        <w:t xml:space="preserve"> introduc</w:t>
      </w:r>
      <w:r w:rsidR="0086052C" w:rsidRPr="00DA04EE">
        <w:rPr>
          <w:rFonts w:ascii="Book Antiqua" w:hAnsi="Book Antiqua"/>
        </w:rPr>
        <w:t>ed</w:t>
      </w:r>
      <w:r w:rsidRPr="00DA04EE">
        <w:rPr>
          <w:rFonts w:ascii="Book Antiqua" w:hAnsi="Book Antiqua"/>
        </w:rPr>
        <w:t xml:space="preserve"> himself as managing the Virtus submission</w:t>
      </w:r>
      <w:r w:rsidR="0086052C" w:rsidRPr="00DA04EE">
        <w:rPr>
          <w:rFonts w:ascii="Book Antiqua" w:hAnsi="Book Antiqua"/>
        </w:rPr>
        <w:t xml:space="preserve"> for Source</w:t>
      </w:r>
      <w:r w:rsidRPr="00DA04EE">
        <w:rPr>
          <w:rFonts w:ascii="Book Antiqua" w:hAnsi="Book Antiqua"/>
        </w:rPr>
        <w:t>. He said</w:t>
      </w:r>
      <w:r w:rsidR="0086052C" w:rsidRPr="00DA04EE">
        <w:rPr>
          <w:rFonts w:ascii="Book Antiqua" w:hAnsi="Book Antiqua"/>
        </w:rPr>
        <w:t>:</w:t>
      </w:r>
      <w:r w:rsidRPr="00DA04EE">
        <w:rPr>
          <w:rFonts w:ascii="Book Antiqua" w:hAnsi="Book Antiqua"/>
        </w:rPr>
        <w:t xml:space="preserve"> </w:t>
      </w:r>
      <w:r w:rsidRPr="00DA04EE">
        <w:rPr>
          <w:rFonts w:ascii="Book Antiqua" w:hAnsi="Book Antiqua"/>
          <w:i/>
        </w:rPr>
        <w:t>“We have developed already our link ammunition pouch for Vir</w:t>
      </w:r>
      <w:r w:rsidR="00C53C2D" w:rsidRPr="00DA04EE">
        <w:rPr>
          <w:rFonts w:ascii="Book Antiqua" w:hAnsi="Book Antiqua"/>
          <w:i/>
        </w:rPr>
        <w:t>t</w:t>
      </w:r>
      <w:r w:rsidRPr="00DA04EE">
        <w:rPr>
          <w:rFonts w:ascii="Book Antiqua" w:hAnsi="Book Antiqua"/>
          <w:i/>
        </w:rPr>
        <w:t>us. Saying that and based on your saying that the user population accepted your product I will be willing to consider your product for our submission”</w:t>
      </w:r>
      <w:r w:rsidRPr="00DA04EE">
        <w:rPr>
          <w:rFonts w:ascii="Book Antiqua" w:hAnsi="Book Antiqua"/>
        </w:rPr>
        <w:t xml:space="preserve">. </w:t>
      </w:r>
      <w:r w:rsidR="003F0EAA">
        <w:rPr>
          <w:rFonts w:ascii="Book Antiqua" w:hAnsi="Book Antiqua"/>
        </w:rPr>
        <w:t xml:space="preserve">He requested a copy of the </w:t>
      </w:r>
      <w:r w:rsidR="00055997">
        <w:rPr>
          <w:rFonts w:ascii="Book Antiqua" w:hAnsi="Book Antiqua"/>
        </w:rPr>
        <w:t>GB’116</w:t>
      </w:r>
      <w:r w:rsidR="00C53655" w:rsidRPr="00DA04EE">
        <w:rPr>
          <w:rFonts w:ascii="Book Antiqua" w:hAnsi="Book Antiqua"/>
        </w:rPr>
        <w:t>, which</w:t>
      </w:r>
      <w:r w:rsidR="00C50DBD" w:rsidRPr="00DA04EE">
        <w:rPr>
          <w:rFonts w:ascii="Book Antiqua" w:hAnsi="Book Antiqua"/>
        </w:rPr>
        <w:t xml:space="preserve"> </w:t>
      </w:r>
      <w:r w:rsidR="0086052C" w:rsidRPr="00DA04EE">
        <w:rPr>
          <w:rFonts w:ascii="Book Antiqua" w:hAnsi="Book Antiqua"/>
        </w:rPr>
        <w:t>Mr Maclean</w:t>
      </w:r>
      <w:r w:rsidR="00C50DBD" w:rsidRPr="00DA04EE">
        <w:rPr>
          <w:rFonts w:ascii="Book Antiqua" w:hAnsi="Book Antiqua"/>
        </w:rPr>
        <w:t xml:space="preserve"> forwarded to him the same day. </w:t>
      </w:r>
    </w:p>
    <w:p w14:paraId="7CEF5BD3" w14:textId="72CDF10A" w:rsidR="008B41EF" w:rsidRPr="00DA04EE" w:rsidRDefault="00D10E2B" w:rsidP="009E4653">
      <w:pPr>
        <w:pStyle w:val="ParaLevel1"/>
        <w:rPr>
          <w:rFonts w:ascii="Book Antiqua" w:hAnsi="Book Antiqua"/>
        </w:rPr>
      </w:pPr>
      <w:r>
        <w:rPr>
          <w:rFonts w:ascii="Book Antiqua" w:hAnsi="Book Antiqua"/>
        </w:rPr>
        <w:t>Mr Clee confirms that t</w:t>
      </w:r>
      <w:r w:rsidR="00631D4F" w:rsidRPr="00DA04EE">
        <w:rPr>
          <w:rFonts w:ascii="Book Antiqua" w:hAnsi="Book Antiqua"/>
        </w:rPr>
        <w:t xml:space="preserve">he reference </w:t>
      </w:r>
      <w:r w:rsidR="00C50DBD" w:rsidRPr="00DA04EE">
        <w:rPr>
          <w:rFonts w:ascii="Book Antiqua" w:hAnsi="Book Antiqua"/>
        </w:rPr>
        <w:t xml:space="preserve">in Mr Gill’s email </w:t>
      </w:r>
      <w:r w:rsidR="00631D4F" w:rsidRPr="00DA04EE">
        <w:rPr>
          <w:rFonts w:ascii="Book Antiqua" w:hAnsi="Book Antiqua"/>
        </w:rPr>
        <w:t xml:space="preserve">to </w:t>
      </w:r>
      <w:r w:rsidR="00C50DBD" w:rsidRPr="00DA04EE">
        <w:rPr>
          <w:rFonts w:ascii="Book Antiqua" w:hAnsi="Book Antiqua"/>
        </w:rPr>
        <w:t>‘</w:t>
      </w:r>
      <w:r w:rsidR="00631D4F" w:rsidRPr="00DA04EE">
        <w:rPr>
          <w:rFonts w:ascii="Book Antiqua" w:hAnsi="Book Antiqua"/>
        </w:rPr>
        <w:t>the user population</w:t>
      </w:r>
      <w:r w:rsidR="00C50DBD" w:rsidRPr="00DA04EE">
        <w:rPr>
          <w:rFonts w:ascii="Book Antiqua" w:hAnsi="Book Antiqua"/>
        </w:rPr>
        <w:t>’</w:t>
      </w:r>
      <w:r w:rsidR="00631D4F" w:rsidRPr="00DA04EE">
        <w:rPr>
          <w:rFonts w:ascii="Book Antiqua" w:hAnsi="Book Antiqua"/>
        </w:rPr>
        <w:t xml:space="preserve"> is a reference to the testing, evaluation and use that </w:t>
      </w:r>
      <w:r>
        <w:rPr>
          <w:rFonts w:ascii="Book Antiqua" w:hAnsi="Book Antiqua"/>
        </w:rPr>
        <w:t>the Link-T</w:t>
      </w:r>
      <w:r w:rsidR="00C50DBD" w:rsidRPr="00DA04EE">
        <w:rPr>
          <w:rFonts w:ascii="Book Antiqua" w:hAnsi="Book Antiqua"/>
        </w:rPr>
        <w:t>ail</w:t>
      </w:r>
      <w:r w:rsidR="00631D4F" w:rsidRPr="00DA04EE">
        <w:rPr>
          <w:rFonts w:ascii="Book Antiqua" w:hAnsi="Book Antiqua"/>
        </w:rPr>
        <w:t xml:space="preserve"> had already received</w:t>
      </w:r>
      <w:r w:rsidR="00C50DBD" w:rsidRPr="00DA04EE">
        <w:rPr>
          <w:rFonts w:ascii="Book Antiqua" w:hAnsi="Book Antiqua"/>
        </w:rPr>
        <w:t xml:space="preserve"> </w:t>
      </w:r>
      <w:r>
        <w:rPr>
          <w:rFonts w:ascii="Book Antiqua" w:hAnsi="Book Antiqua"/>
        </w:rPr>
        <w:t>from the MoD and in theatre</w:t>
      </w:r>
      <w:r w:rsidR="00C50DBD" w:rsidRPr="00DA04EE">
        <w:rPr>
          <w:rFonts w:ascii="Book Antiqua" w:hAnsi="Book Antiqua"/>
        </w:rPr>
        <w:t xml:space="preserve">. </w:t>
      </w:r>
      <w:r w:rsidR="008B41EF" w:rsidRPr="00DA04EE">
        <w:rPr>
          <w:rFonts w:ascii="Book Antiqua" w:hAnsi="Book Antiqua"/>
        </w:rPr>
        <w:t xml:space="preserve">Mr Clee’s evidence was that the process of getting equipment approved by </w:t>
      </w:r>
      <w:r w:rsidR="00413300">
        <w:rPr>
          <w:rFonts w:ascii="Book Antiqua" w:hAnsi="Book Antiqua"/>
        </w:rPr>
        <w:t xml:space="preserve">the </w:t>
      </w:r>
      <w:r w:rsidR="008B41EF" w:rsidRPr="00DA04EE">
        <w:rPr>
          <w:rFonts w:ascii="Book Antiqua" w:hAnsi="Book Antiqua"/>
        </w:rPr>
        <w:t xml:space="preserve">MoD was not trivial, and that Excel had done well to have had Link-Tail approved, and included within Project Virtus. He confirmed </w:t>
      </w:r>
      <w:r>
        <w:rPr>
          <w:rFonts w:ascii="Book Antiqua" w:hAnsi="Book Antiqua"/>
        </w:rPr>
        <w:t xml:space="preserve">Mr Maclean’s understanding </w:t>
      </w:r>
      <w:r w:rsidR="008B41EF" w:rsidRPr="00DA04EE">
        <w:rPr>
          <w:rFonts w:ascii="Book Antiqua" w:hAnsi="Book Antiqua"/>
        </w:rPr>
        <w:t>that such an item of equipment was not part of Virtus originally and that SRD 338 was added because of the positive evaluation of Link-Tail by ITDU.</w:t>
      </w:r>
    </w:p>
    <w:p w14:paraId="1331DBDE" w14:textId="61A4EFD6" w:rsidR="00631D4F" w:rsidRPr="00DA04EE" w:rsidRDefault="00C50DBD" w:rsidP="009E4653">
      <w:pPr>
        <w:pStyle w:val="ParaLevel1"/>
        <w:rPr>
          <w:rFonts w:ascii="Book Antiqua" w:hAnsi="Book Antiqua"/>
        </w:rPr>
      </w:pPr>
      <w:r w:rsidRPr="00DA04EE">
        <w:rPr>
          <w:rFonts w:ascii="Book Antiqua" w:hAnsi="Book Antiqua"/>
        </w:rPr>
        <w:t>Mr Maclean is doubtful that Source had in fact produced their own design</w:t>
      </w:r>
      <w:r w:rsidR="00D10E2B">
        <w:rPr>
          <w:rFonts w:ascii="Book Antiqua" w:hAnsi="Book Antiqua"/>
        </w:rPr>
        <w:t xml:space="preserve"> in December 2013</w:t>
      </w:r>
      <w:r w:rsidR="004D453B" w:rsidRPr="00DA04EE">
        <w:rPr>
          <w:rFonts w:ascii="Book Antiqua" w:hAnsi="Book Antiqua"/>
        </w:rPr>
        <w:t xml:space="preserve"> which met the SRD</w:t>
      </w:r>
      <w:r w:rsidR="003E7C3B" w:rsidRPr="00DA04EE">
        <w:rPr>
          <w:rFonts w:ascii="Book Antiqua" w:hAnsi="Book Antiqua"/>
        </w:rPr>
        <w:t xml:space="preserve">, </w:t>
      </w:r>
      <w:r w:rsidR="00E95327">
        <w:rPr>
          <w:rFonts w:ascii="Book Antiqua" w:hAnsi="Book Antiqua"/>
        </w:rPr>
        <w:t>in relation to which Source has disclosed no drawings</w:t>
      </w:r>
      <w:r w:rsidR="009C315D">
        <w:rPr>
          <w:rFonts w:ascii="Book Antiqua" w:hAnsi="Book Antiqua"/>
        </w:rPr>
        <w:t xml:space="preserve"> or other evidence of its development. Excel</w:t>
      </w:r>
      <w:r w:rsidR="003E7C3B" w:rsidRPr="00DA04EE">
        <w:rPr>
          <w:rFonts w:ascii="Book Antiqua" w:hAnsi="Book Antiqua"/>
        </w:rPr>
        <w:t xml:space="preserve"> poses the question: </w:t>
      </w:r>
      <w:r w:rsidR="008B41EF" w:rsidRPr="00DA04EE">
        <w:rPr>
          <w:rFonts w:ascii="Book Antiqua" w:hAnsi="Book Antiqua"/>
        </w:rPr>
        <w:t>Why would</w:t>
      </w:r>
      <w:r w:rsidR="004D453B" w:rsidRPr="00DA04EE">
        <w:rPr>
          <w:rFonts w:ascii="Book Antiqua" w:hAnsi="Book Antiqua"/>
        </w:rPr>
        <w:t xml:space="preserve"> Source have used the Link-Tail</w:t>
      </w:r>
      <w:r w:rsidR="003E7C3B" w:rsidRPr="00DA04EE">
        <w:rPr>
          <w:rFonts w:ascii="Book Antiqua" w:hAnsi="Book Antiqua"/>
        </w:rPr>
        <w:t xml:space="preserve"> if </w:t>
      </w:r>
      <w:r w:rsidR="009C315D">
        <w:rPr>
          <w:rFonts w:ascii="Book Antiqua" w:hAnsi="Book Antiqua"/>
        </w:rPr>
        <w:t>it</w:t>
      </w:r>
      <w:r w:rsidR="003E7C3B" w:rsidRPr="00DA04EE">
        <w:rPr>
          <w:rFonts w:ascii="Book Antiqua" w:hAnsi="Book Antiqua"/>
        </w:rPr>
        <w:t xml:space="preserve"> had already developed </w:t>
      </w:r>
      <w:r w:rsidR="009C315D">
        <w:rPr>
          <w:rFonts w:ascii="Book Antiqua" w:hAnsi="Book Antiqua"/>
        </w:rPr>
        <w:t>its</w:t>
      </w:r>
      <w:r w:rsidR="003E7C3B" w:rsidRPr="00DA04EE">
        <w:rPr>
          <w:rFonts w:ascii="Book Antiqua" w:hAnsi="Book Antiqua"/>
        </w:rPr>
        <w:t xml:space="preserve"> own solution?</w:t>
      </w:r>
      <w:r w:rsidRPr="00DA04EE">
        <w:rPr>
          <w:rFonts w:ascii="Book Antiqua" w:hAnsi="Book Antiqua"/>
        </w:rPr>
        <w:t xml:space="preserve">  </w:t>
      </w:r>
    </w:p>
    <w:p w14:paraId="1818FC99" w14:textId="50726D4F" w:rsidR="00C53C2D" w:rsidRPr="00DA04EE" w:rsidRDefault="00D10E2B" w:rsidP="009E4653">
      <w:pPr>
        <w:pStyle w:val="ParaLevel1"/>
        <w:rPr>
          <w:rFonts w:ascii="Book Antiqua" w:hAnsi="Book Antiqua"/>
        </w:rPr>
      </w:pPr>
      <w:r>
        <w:rPr>
          <w:rFonts w:ascii="Book Antiqua" w:hAnsi="Book Antiqua"/>
        </w:rPr>
        <w:t xml:space="preserve">In his witness statement, Mr Gill says </w:t>
      </w:r>
      <w:r w:rsidR="00C53C2D" w:rsidRPr="00DA04EE">
        <w:rPr>
          <w:rFonts w:ascii="Book Antiqua" w:hAnsi="Book Antiqua"/>
        </w:rPr>
        <w:t xml:space="preserve">that at the time he contacted Mr Maclean, </w:t>
      </w:r>
      <w:r w:rsidR="00C53C2D" w:rsidRPr="00DA04EE">
        <w:rPr>
          <w:rFonts w:ascii="Book Antiqua" w:hAnsi="Book Antiqua"/>
          <w:i/>
        </w:rPr>
        <w:t>“Source had practically completed the design of its own linked ammunition pouch and intended to supply this product as part of its ISS trial sets. However, Mr Maclean claimed that his product had already been tested by the MoD and deployed operationall</w:t>
      </w:r>
      <w:r w:rsidR="004D453B" w:rsidRPr="00DA04EE">
        <w:rPr>
          <w:rFonts w:ascii="Book Antiqua" w:hAnsi="Book Antiqua"/>
          <w:i/>
        </w:rPr>
        <w:t>y</w:t>
      </w:r>
      <w:r w:rsidR="00C53C2D" w:rsidRPr="00DA04EE">
        <w:rPr>
          <w:rFonts w:ascii="Book Antiqua" w:hAnsi="Book Antiqua"/>
          <w:i/>
        </w:rPr>
        <w:t>. If Source incorporated Mr Maclean’s pouch rather than its own, it could rely on this previous testing and approval and thereby gain certainty that the MoD would approve of the product”.</w:t>
      </w:r>
      <w:r w:rsidR="00C53C2D" w:rsidRPr="00DA04EE">
        <w:rPr>
          <w:rFonts w:ascii="Book Antiqua" w:hAnsi="Book Antiqua"/>
        </w:rPr>
        <w:t xml:space="preserve"> He also noted that Source was under immen</w:t>
      </w:r>
      <w:r w:rsidR="00413300">
        <w:rPr>
          <w:rFonts w:ascii="Book Antiqua" w:hAnsi="Book Antiqua"/>
        </w:rPr>
        <w:t>se time pressure since the full</w:t>
      </w:r>
      <w:r w:rsidR="00C53C2D" w:rsidRPr="00DA04EE">
        <w:rPr>
          <w:rFonts w:ascii="Book Antiqua" w:hAnsi="Book Antiqua"/>
        </w:rPr>
        <w:t xml:space="preserve"> system had to be submitted within the next few months.</w:t>
      </w:r>
      <w:r w:rsidR="004D453B" w:rsidRPr="00DA04EE">
        <w:rPr>
          <w:rFonts w:ascii="Book Antiqua" w:hAnsi="Book Antiqua"/>
        </w:rPr>
        <w:t xml:space="preserve"> In my judgment these are both good reasons for using the Link-Tail even if it did have its own </w:t>
      </w:r>
      <w:r>
        <w:rPr>
          <w:rFonts w:ascii="Book Antiqua" w:hAnsi="Book Antiqua"/>
        </w:rPr>
        <w:t>solution</w:t>
      </w:r>
      <w:r w:rsidR="004D453B" w:rsidRPr="00DA04EE">
        <w:rPr>
          <w:rFonts w:ascii="Book Antiqua" w:hAnsi="Book Antiqua"/>
        </w:rPr>
        <w:t xml:space="preserve"> almost ready to go. </w:t>
      </w:r>
      <w:r w:rsidR="003E7C3B" w:rsidRPr="00DA04EE">
        <w:rPr>
          <w:rFonts w:ascii="Book Antiqua" w:hAnsi="Book Antiqua"/>
        </w:rPr>
        <w:t>Mr Gill’s evidence</w:t>
      </w:r>
      <w:r w:rsidR="004D453B" w:rsidRPr="00DA04EE">
        <w:rPr>
          <w:rFonts w:ascii="Book Antiqua" w:hAnsi="Book Antiqua"/>
        </w:rPr>
        <w:t xml:space="preserve"> is also supported by contemporaneous documentation: Mr Gill wrote to Mr Maclean </w:t>
      </w:r>
      <w:r w:rsidR="00B35D4D">
        <w:rPr>
          <w:rFonts w:ascii="Book Antiqua" w:hAnsi="Book Antiqua"/>
        </w:rPr>
        <w:t>at this time saying</w:t>
      </w:r>
      <w:r w:rsidR="004D453B" w:rsidRPr="00DA04EE">
        <w:rPr>
          <w:rFonts w:ascii="Book Antiqua" w:hAnsi="Book Antiqua"/>
        </w:rPr>
        <w:t xml:space="preserve"> “</w:t>
      </w:r>
      <w:r w:rsidR="004D453B" w:rsidRPr="00DA04EE">
        <w:rPr>
          <w:rFonts w:ascii="Book Antiqua" w:hAnsi="Book Antiqua"/>
          <w:i/>
        </w:rPr>
        <w:t>I have read carefully your patent and I do not think our design infringe [sic] your patent. However the merit I see here is not in your design but in the work you did with the UK MoD to accept your product. This on its own for us as Prime who deals with a multi component system and seek to have no failure has value.”</w:t>
      </w:r>
      <w:r w:rsidR="003E7C3B" w:rsidRPr="00DA04EE">
        <w:rPr>
          <w:rFonts w:ascii="Book Antiqua" w:hAnsi="Book Antiqua"/>
        </w:rPr>
        <w:t xml:space="preserve"> </w:t>
      </w:r>
      <w:r w:rsidR="009C315D">
        <w:rPr>
          <w:rFonts w:ascii="Book Antiqua" w:hAnsi="Book Antiqua"/>
        </w:rPr>
        <w:t>Excel also asks why would it have developed the 2017 Bag from the Q33A (as is Source’s case) rather than revive its December 2013 almost-completed solution, if such a solution existed? Mr Clee in oral evidence explains that at the end of 2016 Source needed a new solution to answer user difficulties with the Link-Tail/Source Ammunition Bag, and it couldn’t use the previously Source- developed solution, as it was not similar enough to the solution the MoD had already approved. Source didn’t want to offer a major substitution which would need to undergo extensive testing from scratch.</w:t>
      </w:r>
      <w:r w:rsidR="009B20C6">
        <w:rPr>
          <w:rFonts w:ascii="Book Antiqua" w:hAnsi="Book Antiqua"/>
        </w:rPr>
        <w:t xml:space="preserve"> I accept that it didn’t want to offer a major change, and</w:t>
      </w:r>
      <w:r w:rsidR="00413300">
        <w:rPr>
          <w:rFonts w:ascii="Book Antiqua" w:hAnsi="Book Antiqua"/>
        </w:rPr>
        <w:t xml:space="preserve"> will</w:t>
      </w:r>
      <w:r w:rsidR="009B20C6">
        <w:rPr>
          <w:rFonts w:ascii="Book Antiqua" w:hAnsi="Book Antiqua"/>
        </w:rPr>
        <w:t xml:space="preserve"> return to this later in the chronology. On considering all the evidence I am satisfied that it is more likely than not that Source did have an ammunition bag to meet SRD 338 in advanced development in December 2013, </w:t>
      </w:r>
      <w:r w:rsidR="003E7C3B" w:rsidRPr="00DA04EE">
        <w:rPr>
          <w:rFonts w:ascii="Book Antiqua" w:hAnsi="Book Antiqua"/>
        </w:rPr>
        <w:t xml:space="preserve">but preferred to use the Link-Tail for the reasons Mr Gill gives. </w:t>
      </w:r>
    </w:p>
    <w:p w14:paraId="62D4B511" w14:textId="4B35D9B0" w:rsidR="00C50DBD" w:rsidRPr="00DA04EE" w:rsidRDefault="00C50DBD" w:rsidP="009E4653">
      <w:pPr>
        <w:pStyle w:val="ParaLevel1"/>
        <w:rPr>
          <w:rFonts w:ascii="Book Antiqua" w:hAnsi="Book Antiqua"/>
        </w:rPr>
      </w:pPr>
      <w:r w:rsidRPr="00DA04EE">
        <w:rPr>
          <w:rFonts w:ascii="Book Antiqua" w:hAnsi="Book Antiqua"/>
        </w:rPr>
        <w:t>On 10 January 2014 Mr Gill sent Mr Maclean the following email:</w:t>
      </w:r>
    </w:p>
    <w:p w14:paraId="672D2D75" w14:textId="03BDDBB9" w:rsidR="00C50DBD" w:rsidRPr="00DA04EE" w:rsidRDefault="00C50DBD" w:rsidP="009E4653">
      <w:pPr>
        <w:pStyle w:val="ParaLevel2"/>
        <w:numPr>
          <w:ilvl w:val="0"/>
          <w:numId w:val="0"/>
        </w:numPr>
        <w:ind w:left="1418"/>
        <w:rPr>
          <w:rFonts w:ascii="Book Antiqua" w:hAnsi="Book Antiqua"/>
        </w:rPr>
      </w:pPr>
      <w:r w:rsidRPr="00DA04EE">
        <w:rPr>
          <w:rFonts w:ascii="Book Antiqua" w:hAnsi="Book Antiqua"/>
        </w:rPr>
        <w:t xml:space="preserve">“Can you please send me two final </w:t>
      </w:r>
      <w:r w:rsidR="00413300">
        <w:rPr>
          <w:rFonts w:ascii="Book Antiqua" w:hAnsi="Book Antiqua"/>
        </w:rPr>
        <w:t>samples of your VIRTUS Link-Tai</w:t>
      </w:r>
      <w:r w:rsidRPr="00DA04EE">
        <w:rPr>
          <w:rFonts w:ascii="Book Antiqua" w:hAnsi="Book Antiqua"/>
        </w:rPr>
        <w:t>l (including the additional side pouches for s</w:t>
      </w:r>
      <w:r w:rsidR="00413300">
        <w:rPr>
          <w:rFonts w:ascii="Book Antiqua" w:hAnsi="Book Antiqua"/>
        </w:rPr>
        <w:t>towing x2 Para flares and 8x cya</w:t>
      </w:r>
      <w:r w:rsidRPr="00DA04EE">
        <w:rPr>
          <w:rFonts w:ascii="Book Antiqua" w:hAnsi="Book Antiqua"/>
        </w:rPr>
        <w:t xml:space="preserve">lume sticks). My plan is to test the function of your product once received (including live shooting) and compare it with our design. If we will find your product equal or better in performance then our design, we will follow with a royalty agreement of </w:t>
      </w:r>
      <w:r w:rsidR="00BF1F22" w:rsidRPr="00BF1F22">
        <w:rPr>
          <w:rFonts w:ascii="Book Antiqua" w:hAnsi="Book Antiqua"/>
          <w:b/>
        </w:rPr>
        <w:t>[redacted]</w:t>
      </w:r>
      <w:r w:rsidRPr="00DA04EE">
        <w:rPr>
          <w:rFonts w:ascii="Book Antiqua" w:hAnsi="Book Antiqua"/>
        </w:rPr>
        <w:t xml:space="preserve"> GBP per unit. I will share our test results with you.”</w:t>
      </w:r>
    </w:p>
    <w:p w14:paraId="4613E956" w14:textId="496C7BA6" w:rsidR="00A04B1D" w:rsidRDefault="00062C8E" w:rsidP="009E4653">
      <w:pPr>
        <w:pStyle w:val="ParaLevel1"/>
        <w:rPr>
          <w:rFonts w:ascii="Book Antiqua" w:hAnsi="Book Antiqua"/>
        </w:rPr>
      </w:pPr>
      <w:r w:rsidRPr="00DA04EE">
        <w:rPr>
          <w:rFonts w:ascii="Book Antiqua" w:hAnsi="Book Antiqua"/>
        </w:rPr>
        <w:t>Mr Charles Clee telep</w:t>
      </w:r>
      <w:r w:rsidR="004D66C1" w:rsidRPr="00DA04EE">
        <w:rPr>
          <w:rFonts w:ascii="Book Antiqua" w:hAnsi="Book Antiqua"/>
        </w:rPr>
        <w:t>honed Mr Maclean on 14 January 2014 and introduced himself as the UK agent for Source. He asked for a copy of the URBEX trials report and more detailed information on the Link-Tail, which Mr Maclean sent him.</w:t>
      </w:r>
      <w:r w:rsidRPr="00DA04EE">
        <w:rPr>
          <w:rFonts w:ascii="Book Antiqua" w:hAnsi="Book Antiqua"/>
        </w:rPr>
        <w:t xml:space="preserve"> This included numerous photographs of the Link-Tail. Mr Maclean noted on his email that the photographs did not show </w:t>
      </w:r>
      <w:r w:rsidRPr="00DA04EE">
        <w:rPr>
          <w:rFonts w:ascii="Book Antiqua" w:hAnsi="Book Antiqua"/>
          <w:i/>
        </w:rPr>
        <w:t>“an additional modification”</w:t>
      </w:r>
      <w:r w:rsidRPr="00DA04EE">
        <w:rPr>
          <w:rFonts w:ascii="Book Antiqua" w:hAnsi="Book Antiqua"/>
        </w:rPr>
        <w:t xml:space="preserve"> but said he would provide details of it if Source wished to produce its own samples, subject to first entering into </w:t>
      </w:r>
      <w:r w:rsidRPr="00DA04EE">
        <w:rPr>
          <w:rFonts w:ascii="Book Antiqua" w:hAnsi="Book Antiqua"/>
          <w:i/>
        </w:rPr>
        <w:t>“some form of contractual agreement”</w:t>
      </w:r>
      <w:r w:rsidRPr="00DA04EE">
        <w:rPr>
          <w:rFonts w:ascii="Book Antiqua" w:hAnsi="Book Antiqua"/>
        </w:rPr>
        <w:t xml:space="preserve">.  </w:t>
      </w:r>
      <w:r w:rsidR="00B35D4D">
        <w:rPr>
          <w:rFonts w:ascii="Book Antiqua" w:hAnsi="Book Antiqua"/>
        </w:rPr>
        <w:t xml:space="preserve">He was referring to the tensioning/adjustment strap to prevent the horizontally flaked rounds slumping when the Link-Tail was carried bandolier-style. </w:t>
      </w:r>
      <w:r w:rsidR="00A04B1D">
        <w:rPr>
          <w:rFonts w:ascii="Book Antiqua" w:hAnsi="Book Antiqua"/>
        </w:rPr>
        <w:t>He also told Mr Clee:</w:t>
      </w:r>
      <w:r w:rsidR="00A04B1D" w:rsidRPr="00A04B1D">
        <w:rPr>
          <w:rFonts w:ascii="Book Antiqua" w:hAnsi="Book Antiqua"/>
          <w:i/>
        </w:rPr>
        <w:t xml:space="preserve"> “The only weakness that was identified [in the URBEX 2012 trial] was the need for ‘care in loading’. Subsequently we incorporated a marker </w:t>
      </w:r>
      <w:r w:rsidR="00C53655">
        <w:rPr>
          <w:rFonts w:ascii="Book Antiqua" w:hAnsi="Book Antiqua"/>
          <w:i/>
        </w:rPr>
        <w:t>patch (this will become evident</w:t>
      </w:r>
      <w:r w:rsidR="00A04B1D" w:rsidRPr="00A04B1D">
        <w:rPr>
          <w:rFonts w:ascii="Book Antiqua" w:hAnsi="Book Antiqua"/>
          <w:i/>
        </w:rPr>
        <w:t xml:space="preserve"> when you view the user instructions attached). In my opinion this is a training issue, much the same as loading rounds into a magazine. Provided you place the rounds as depicted on the patch you CAN NOT load the Link-Tail incorrectly</w:t>
      </w:r>
      <w:r w:rsidR="00A04B1D">
        <w:rPr>
          <w:rFonts w:ascii="Book Antiqua" w:hAnsi="Book Antiqua"/>
        </w:rPr>
        <w:t xml:space="preserve">”. </w:t>
      </w:r>
    </w:p>
    <w:p w14:paraId="16363334" w14:textId="3615D363" w:rsidR="00C50DBD" w:rsidRPr="00DA04EE" w:rsidRDefault="00062C8E" w:rsidP="009E4653">
      <w:pPr>
        <w:pStyle w:val="ParaLevel1"/>
        <w:rPr>
          <w:rFonts w:ascii="Book Antiqua" w:hAnsi="Book Antiqua"/>
        </w:rPr>
      </w:pPr>
      <w:r w:rsidRPr="00DA04EE">
        <w:rPr>
          <w:rFonts w:ascii="Book Antiqua" w:hAnsi="Book Antiqua"/>
        </w:rPr>
        <w:t>The next day Mr Clee telephoned him and told him that he had purchased a Link-Tail on eBay, as a sample</w:t>
      </w:r>
      <w:r w:rsidR="00ED28D8">
        <w:rPr>
          <w:rFonts w:ascii="Book Antiqua" w:hAnsi="Book Antiqua"/>
        </w:rPr>
        <w:t>, and dispatched it to Source in Israel</w:t>
      </w:r>
      <w:r w:rsidRPr="00DA04EE">
        <w:rPr>
          <w:rFonts w:ascii="Book Antiqua" w:hAnsi="Book Antiqua"/>
        </w:rPr>
        <w:t xml:space="preserve">. </w:t>
      </w:r>
    </w:p>
    <w:p w14:paraId="396B2566" w14:textId="0B112E6D" w:rsidR="002C688F" w:rsidRPr="00BF1F22" w:rsidRDefault="002C688F" w:rsidP="009E4653">
      <w:pPr>
        <w:pStyle w:val="ParaLevel1"/>
        <w:rPr>
          <w:rFonts w:ascii="Book Antiqua" w:hAnsi="Book Antiqua"/>
        </w:rPr>
      </w:pPr>
      <w:r w:rsidRPr="00DA04EE">
        <w:rPr>
          <w:rFonts w:ascii="Book Antiqua" w:hAnsi="Book Antiqua"/>
        </w:rPr>
        <w:t xml:space="preserve">Mr Gill’s evidence is that he and his design team evaluated the sample purchased on eBay, and noted that the Link-Tail </w:t>
      </w:r>
      <w:r w:rsidRPr="00DA04EE">
        <w:rPr>
          <w:rFonts w:ascii="Book Antiqua" w:hAnsi="Book Antiqua"/>
          <w:i/>
        </w:rPr>
        <w:t xml:space="preserve">“allowed for the ammunition stored in the bag to drop to the bottom of the bag when the bag was carried over the shoulder. This meant that when the user wished to load the ammunition… they would find that they could not as the lead round of ammunition had dropped to the bottom of the bag. …To remedy this issue our design team incorporated a Velcro strap or loop for attachment </w:t>
      </w:r>
      <w:r w:rsidR="003E7C3B" w:rsidRPr="00DA04EE">
        <w:rPr>
          <w:rFonts w:ascii="Book Antiqua" w:hAnsi="Book Antiqua"/>
          <w:i/>
        </w:rPr>
        <w:t>at</w:t>
      </w:r>
      <w:r w:rsidRPr="00DA04EE">
        <w:rPr>
          <w:rFonts w:ascii="Book Antiqua" w:hAnsi="Book Antiqua"/>
          <w:i/>
        </w:rPr>
        <w:t xml:space="preserve"> the top of the Link-Tail into which the top round of ammunition could be secured.”</w:t>
      </w:r>
      <w:r w:rsidR="00BF1F22">
        <w:rPr>
          <w:rFonts w:ascii="Book Antiqua" w:hAnsi="Book Antiqua"/>
          <w:i/>
        </w:rPr>
        <w:t xml:space="preserve"> </w:t>
      </w:r>
      <w:r w:rsidR="00BF1F22" w:rsidRPr="00BF1F22">
        <w:rPr>
          <w:rFonts w:ascii="Book Antiqua" w:hAnsi="Book Antiqua"/>
        </w:rPr>
        <w:t xml:space="preserve">In </w:t>
      </w:r>
      <w:r w:rsidR="004E4123">
        <w:rPr>
          <w:rFonts w:ascii="Book Antiqua" w:hAnsi="Book Antiqua"/>
        </w:rPr>
        <w:t xml:space="preserve">fact I am satisfied on the evidence before me that there was already a first-round retaining loop on the Link-Tail purchased by Mr Clee on eBay and so this was not a design feature added by Source. However in </w:t>
      </w:r>
      <w:r w:rsidR="00BF1F22" w:rsidRPr="00BF1F22">
        <w:rPr>
          <w:rFonts w:ascii="Book Antiqua" w:hAnsi="Book Antiqua"/>
        </w:rPr>
        <w:t xml:space="preserve">oral evidence Mr Clee confirmed that </w:t>
      </w:r>
      <w:r w:rsidR="00BF1F22">
        <w:rPr>
          <w:rFonts w:ascii="Book Antiqua" w:hAnsi="Book Antiqua"/>
        </w:rPr>
        <w:t xml:space="preserve">he did not think </w:t>
      </w:r>
      <w:r w:rsidR="00BF1F22" w:rsidRPr="00BF1F22">
        <w:rPr>
          <w:rFonts w:ascii="Book Antiqua" w:hAnsi="Book Antiqua"/>
        </w:rPr>
        <w:t>th</w:t>
      </w:r>
      <w:r w:rsidR="00BF1F22">
        <w:rPr>
          <w:rFonts w:ascii="Book Antiqua" w:hAnsi="Book Antiqua"/>
        </w:rPr>
        <w:t xml:space="preserve">e sample he purchased from eBay </w:t>
      </w:r>
      <w:r w:rsidR="00BF1F22" w:rsidRPr="00BF1F22">
        <w:rPr>
          <w:rFonts w:ascii="Book Antiqua" w:hAnsi="Book Antiqua"/>
        </w:rPr>
        <w:t>contain</w:t>
      </w:r>
      <w:r w:rsidR="00BF1F22">
        <w:rPr>
          <w:rFonts w:ascii="Book Antiqua" w:hAnsi="Book Antiqua"/>
        </w:rPr>
        <w:t>ed</w:t>
      </w:r>
      <w:r w:rsidR="00BF1F22" w:rsidRPr="00BF1F22">
        <w:rPr>
          <w:rFonts w:ascii="Book Antiqua" w:hAnsi="Book Antiqua"/>
        </w:rPr>
        <w:t xml:space="preserve"> the marker patch indicating the correct method of loading the linked round</w:t>
      </w:r>
      <w:r w:rsidR="004E4123">
        <w:rPr>
          <w:rFonts w:ascii="Book Antiqua" w:hAnsi="Book Antiqua"/>
        </w:rPr>
        <w:t xml:space="preserve"> and I accept that evidence</w:t>
      </w:r>
      <w:r w:rsidR="00BF1F22" w:rsidRPr="00BF1F22">
        <w:rPr>
          <w:rFonts w:ascii="Book Antiqua" w:hAnsi="Book Antiqua"/>
        </w:rPr>
        <w:t>.</w:t>
      </w:r>
    </w:p>
    <w:p w14:paraId="28389C0E" w14:textId="3F1EAE49" w:rsidR="00062C8E" w:rsidRPr="00DA04EE" w:rsidRDefault="00062C8E" w:rsidP="009E4653">
      <w:pPr>
        <w:pStyle w:val="ParaLevel1"/>
        <w:rPr>
          <w:rFonts w:ascii="Book Antiqua" w:hAnsi="Book Antiqua"/>
        </w:rPr>
      </w:pPr>
      <w:r w:rsidRPr="00DA04EE">
        <w:rPr>
          <w:rFonts w:ascii="Book Antiqua" w:hAnsi="Book Antiqua"/>
        </w:rPr>
        <w:t xml:space="preserve">On 31 January 2014, Mr Gill emailed Mr Maclean to say that he was </w:t>
      </w:r>
      <w:r w:rsidRPr="00DA04EE">
        <w:rPr>
          <w:rFonts w:ascii="Book Antiqua" w:hAnsi="Book Antiqua"/>
          <w:i/>
        </w:rPr>
        <w:t>“inclined to take the direction of using your Link-tail design and sign the royalty agreement we discussed”.</w:t>
      </w:r>
      <w:r w:rsidRPr="00DA04EE">
        <w:rPr>
          <w:rFonts w:ascii="Book Antiqua" w:hAnsi="Book Antiqua"/>
        </w:rPr>
        <w:t xml:space="preserve"> Source and Excel entered into an NDA on 18 February 2014 followin</w:t>
      </w:r>
      <w:r w:rsidR="003E7C3B" w:rsidRPr="00DA04EE">
        <w:rPr>
          <w:rFonts w:ascii="Book Antiqua" w:hAnsi="Book Antiqua"/>
        </w:rPr>
        <w:t>g which Mr Maclean forwarded</w:t>
      </w:r>
      <w:r w:rsidR="00BF1F22">
        <w:rPr>
          <w:rFonts w:ascii="Book Antiqua" w:hAnsi="Book Antiqua"/>
        </w:rPr>
        <w:t xml:space="preserve"> by email</w:t>
      </w:r>
      <w:r w:rsidR="003E7C3B" w:rsidRPr="00DA04EE">
        <w:rPr>
          <w:rFonts w:ascii="Book Antiqua" w:hAnsi="Book Antiqua"/>
        </w:rPr>
        <w:t xml:space="preserve"> six</w:t>
      </w:r>
      <w:r w:rsidRPr="00DA04EE">
        <w:rPr>
          <w:rFonts w:ascii="Book Antiqua" w:hAnsi="Book Antiqua"/>
        </w:rPr>
        <w:t xml:space="preserve"> images of </w:t>
      </w:r>
      <w:r w:rsidR="002C688F" w:rsidRPr="00DA04EE">
        <w:rPr>
          <w:rFonts w:ascii="Book Antiqua" w:hAnsi="Book Antiqua"/>
        </w:rPr>
        <w:t>t</w:t>
      </w:r>
      <w:r w:rsidRPr="00DA04EE">
        <w:rPr>
          <w:rFonts w:ascii="Book Antiqua" w:hAnsi="Book Antiqua"/>
        </w:rPr>
        <w:t xml:space="preserve">he adjustment strap modification to the Link-Tail, together with a document explaining the purpose of it. </w:t>
      </w:r>
      <w:r w:rsidR="00BF1F22">
        <w:rPr>
          <w:rFonts w:ascii="Book Antiqua" w:hAnsi="Book Antiqua"/>
        </w:rPr>
        <w:t>Image 5 (above) is a detail from one of those images.</w:t>
      </w:r>
    </w:p>
    <w:p w14:paraId="03487A7B" w14:textId="71F9AFCB" w:rsidR="00062C8E" w:rsidRPr="00DA04EE" w:rsidRDefault="00062C8E" w:rsidP="009E4653">
      <w:pPr>
        <w:pStyle w:val="ParaLevel1"/>
        <w:rPr>
          <w:rFonts w:ascii="Book Antiqua" w:hAnsi="Book Antiqua"/>
        </w:rPr>
      </w:pPr>
      <w:r w:rsidRPr="00DA04EE">
        <w:rPr>
          <w:rFonts w:ascii="Book Antiqua" w:hAnsi="Book Antiqua"/>
        </w:rPr>
        <w:t>Mr Gill e</w:t>
      </w:r>
      <w:r w:rsidR="008B01DF" w:rsidRPr="00DA04EE">
        <w:rPr>
          <w:rFonts w:ascii="Book Antiqua" w:hAnsi="Book Antiqua"/>
        </w:rPr>
        <w:t>m</w:t>
      </w:r>
      <w:r w:rsidRPr="00DA04EE">
        <w:rPr>
          <w:rFonts w:ascii="Book Antiqua" w:hAnsi="Book Antiqua"/>
        </w:rPr>
        <w:t>ailed him on 22 February 2014, saying:</w:t>
      </w:r>
    </w:p>
    <w:p w14:paraId="32DD9E3F" w14:textId="01797486" w:rsidR="00062C8E" w:rsidRPr="00DA04EE" w:rsidRDefault="002E5F26" w:rsidP="009E4653">
      <w:pPr>
        <w:pStyle w:val="ParaLevel2"/>
        <w:numPr>
          <w:ilvl w:val="0"/>
          <w:numId w:val="0"/>
        </w:numPr>
        <w:ind w:left="1418"/>
        <w:rPr>
          <w:rFonts w:ascii="Book Antiqua" w:hAnsi="Book Antiqua"/>
        </w:rPr>
      </w:pPr>
      <w:r w:rsidRPr="00DA04EE">
        <w:rPr>
          <w:rFonts w:ascii="Book Antiqua" w:hAnsi="Book Antiqua"/>
        </w:rPr>
        <w:t>“</w:t>
      </w:r>
      <w:r w:rsidR="00062C8E" w:rsidRPr="00DA04EE">
        <w:rPr>
          <w:rFonts w:ascii="Book Antiqua" w:hAnsi="Book Antiqua"/>
        </w:rPr>
        <w:t>We have already made our own design changes for 5.56/7.62 rounds and shorter length of belt as we ha</w:t>
      </w:r>
      <w:r w:rsidR="008B01DF" w:rsidRPr="00DA04EE">
        <w:rPr>
          <w:rFonts w:ascii="Book Antiqua" w:hAnsi="Book Antiqua"/>
        </w:rPr>
        <w:t>v</w:t>
      </w:r>
      <w:r w:rsidR="00062C8E" w:rsidRPr="00DA04EE">
        <w:rPr>
          <w:rFonts w:ascii="Book Antiqua" w:hAnsi="Book Antiqua"/>
        </w:rPr>
        <w:t xml:space="preserve">e identified these problems </w:t>
      </w:r>
      <w:r w:rsidRPr="00DA04EE">
        <w:rPr>
          <w:rFonts w:ascii="Book Antiqua" w:hAnsi="Book Antiqua"/>
        </w:rPr>
        <w:t>in the link tail purchased on eB</w:t>
      </w:r>
      <w:r w:rsidR="00062C8E" w:rsidRPr="00DA04EE">
        <w:rPr>
          <w:rFonts w:ascii="Book Antiqua" w:hAnsi="Book Antiqua"/>
        </w:rPr>
        <w:t>ay</w:t>
      </w:r>
      <w:r w:rsidR="008B01DF" w:rsidRPr="00DA04EE">
        <w:rPr>
          <w:rFonts w:ascii="Book Antiqua" w:hAnsi="Book Antiqua"/>
        </w:rPr>
        <w:t>… I will provide</w:t>
      </w:r>
      <w:r w:rsidRPr="00DA04EE">
        <w:rPr>
          <w:rFonts w:ascii="Book Antiqua" w:hAnsi="Book Antiqua"/>
        </w:rPr>
        <w:t xml:space="preserve"> you images of the amendments w</w:t>
      </w:r>
      <w:r w:rsidR="008B01DF" w:rsidRPr="00DA04EE">
        <w:rPr>
          <w:rFonts w:ascii="Book Antiqua" w:hAnsi="Book Antiqua"/>
        </w:rPr>
        <w:t>e made on your product after submission date. Right now, I am trying to keep our designs out of the reach of our competitors. Please send me your proposed royalty agreement dra</w:t>
      </w:r>
      <w:r w:rsidRPr="00DA04EE">
        <w:rPr>
          <w:rFonts w:ascii="Book Antiqua" w:hAnsi="Book Antiqua"/>
        </w:rPr>
        <w:t>f</w:t>
      </w:r>
      <w:r w:rsidR="008B01DF" w:rsidRPr="00DA04EE">
        <w:rPr>
          <w:rFonts w:ascii="Book Antiqua" w:hAnsi="Book Antiqua"/>
        </w:rPr>
        <w:t>t based on what we agreed. Let</w:t>
      </w:r>
      <w:r w:rsidR="00ED28D8">
        <w:rPr>
          <w:rFonts w:ascii="Book Antiqua" w:hAnsi="Book Antiqua"/>
        </w:rPr>
        <w:t>’</w:t>
      </w:r>
      <w:r w:rsidR="008B01DF" w:rsidRPr="00DA04EE">
        <w:rPr>
          <w:rFonts w:ascii="Book Antiqua" w:hAnsi="Book Antiqua"/>
        </w:rPr>
        <w:t>s sign it and get this action item behind us</w:t>
      </w:r>
      <w:r w:rsidRPr="00DA04EE">
        <w:rPr>
          <w:rFonts w:ascii="Book Antiqua" w:hAnsi="Book Antiqua"/>
        </w:rPr>
        <w:t>”</w:t>
      </w:r>
      <w:r w:rsidR="008B01DF" w:rsidRPr="00DA04EE">
        <w:rPr>
          <w:rFonts w:ascii="Book Antiqua" w:hAnsi="Book Antiqua"/>
        </w:rPr>
        <w:t>.</w:t>
      </w:r>
    </w:p>
    <w:p w14:paraId="3D1877A6" w14:textId="00DEB14C" w:rsidR="008B01DF" w:rsidRPr="00DA04EE" w:rsidRDefault="002C688F" w:rsidP="009E4653">
      <w:pPr>
        <w:pStyle w:val="ParaLevel1"/>
        <w:rPr>
          <w:rFonts w:ascii="Book Antiqua" w:hAnsi="Book Antiqua"/>
        </w:rPr>
      </w:pPr>
      <w:r w:rsidRPr="00DA04EE">
        <w:rPr>
          <w:rFonts w:ascii="Book Antiqua" w:hAnsi="Book Antiqua"/>
        </w:rPr>
        <w:t xml:space="preserve">In his witness statement, Mr Gill says that he didn’t see much value in the adjustment strap as he believed that the problem had been fixed by the addition of the Velcro strap or loop for the attachment of the first </w:t>
      </w:r>
      <w:r w:rsidR="00BF1F22">
        <w:rPr>
          <w:rFonts w:ascii="Book Antiqua" w:hAnsi="Book Antiqua"/>
        </w:rPr>
        <w:t xml:space="preserve">round. </w:t>
      </w:r>
      <w:r w:rsidR="002E737E">
        <w:rPr>
          <w:rFonts w:ascii="Book Antiqua" w:hAnsi="Book Antiqua"/>
        </w:rPr>
        <w:t xml:space="preserve">As I have found, the first round attachment was not an addition </w:t>
      </w:r>
      <w:r w:rsidR="00ED28D8">
        <w:rPr>
          <w:rFonts w:ascii="Book Antiqua" w:hAnsi="Book Antiqua"/>
        </w:rPr>
        <w:t xml:space="preserve">by Source, </w:t>
      </w:r>
      <w:r w:rsidR="00C53655">
        <w:rPr>
          <w:rFonts w:ascii="Book Antiqua" w:hAnsi="Book Antiqua"/>
        </w:rPr>
        <w:t>and in my judgment this display</w:t>
      </w:r>
      <w:r w:rsidR="002E737E">
        <w:rPr>
          <w:rFonts w:ascii="Book Antiqua" w:hAnsi="Book Antiqua"/>
        </w:rPr>
        <w:t>s Mr Gill’s failure to understand the purpose of the adjustment strap</w:t>
      </w:r>
      <w:r w:rsidR="00EF35A9">
        <w:rPr>
          <w:rFonts w:ascii="Book Antiqua" w:hAnsi="Book Antiqua"/>
        </w:rPr>
        <w:t xml:space="preserve">. </w:t>
      </w:r>
      <w:r w:rsidR="00B4102C" w:rsidRPr="00DA04EE">
        <w:rPr>
          <w:rFonts w:ascii="Book Antiqua" w:hAnsi="Book Antiqua"/>
        </w:rPr>
        <w:t xml:space="preserve">On 4 April 2014 Mr Gill told Mr Maclean by email that Source had made </w:t>
      </w:r>
      <w:r w:rsidR="00B4102C" w:rsidRPr="00DA04EE">
        <w:rPr>
          <w:rFonts w:ascii="Book Antiqua" w:hAnsi="Book Antiqua"/>
          <w:i/>
        </w:rPr>
        <w:t>“significant changes to your design in order for it to be able to integrate with the system – making what we have submitted a different product”</w:t>
      </w:r>
      <w:r w:rsidR="00B4102C" w:rsidRPr="00DA04EE">
        <w:rPr>
          <w:rFonts w:ascii="Book Antiqua" w:hAnsi="Book Antiqua"/>
        </w:rPr>
        <w:t>. Mr Maclean asked for images, which Mr Gill sent. Mr Maclean did not notice that there was no adjustment strap present</w:t>
      </w:r>
      <w:r w:rsidR="00EF35A9">
        <w:rPr>
          <w:rFonts w:ascii="Book Antiqua" w:hAnsi="Book Antiqua"/>
        </w:rPr>
        <w:t xml:space="preserve">, and the photographs he was sent did not </w:t>
      </w:r>
      <w:r w:rsidR="00ED28D8">
        <w:rPr>
          <w:rFonts w:ascii="Book Antiqua" w:hAnsi="Book Antiqua"/>
        </w:rPr>
        <w:t xml:space="preserve">include the underside of the top flap, so did not </w:t>
      </w:r>
      <w:r w:rsidR="00EF35A9">
        <w:rPr>
          <w:rFonts w:ascii="Book Antiqua" w:hAnsi="Book Antiqua"/>
        </w:rPr>
        <w:t>enable him to identify that the marker patch was also missing</w:t>
      </w:r>
      <w:r w:rsidR="00B4102C" w:rsidRPr="00DA04EE">
        <w:rPr>
          <w:rFonts w:ascii="Book Antiqua" w:hAnsi="Book Antiqua"/>
        </w:rPr>
        <w:t xml:space="preserve">. </w:t>
      </w:r>
      <w:r w:rsidR="00EF35A9">
        <w:rPr>
          <w:rFonts w:ascii="Book Antiqua" w:hAnsi="Book Antiqua"/>
        </w:rPr>
        <w:t xml:space="preserve">Mr Clee in oral evidence accepted that there were no significant changes save for the deletion of the adjustment strap, nor any changes which were required for it to integrate with the wider ISS system. </w:t>
      </w:r>
      <w:r w:rsidR="00ED28D8">
        <w:rPr>
          <w:rFonts w:ascii="Book Antiqua" w:hAnsi="Book Antiqua"/>
        </w:rPr>
        <w:t xml:space="preserve">I am satisfied on the balance of probabilities there were no significant changes in the design of the Source Ammunition Bag to the design of the Link-Tail. </w:t>
      </w:r>
    </w:p>
    <w:p w14:paraId="620A5ADA" w14:textId="71987573" w:rsidR="00B4102C" w:rsidRPr="00DA04EE" w:rsidRDefault="004E37B4" w:rsidP="009E4653">
      <w:pPr>
        <w:pStyle w:val="ParaLevel1"/>
        <w:rPr>
          <w:rFonts w:ascii="Book Antiqua" w:hAnsi="Book Antiqua"/>
        </w:rPr>
      </w:pPr>
      <w:r w:rsidRPr="00DA04EE">
        <w:rPr>
          <w:rFonts w:ascii="Book Antiqua" w:hAnsi="Book Antiqua"/>
        </w:rPr>
        <w:t xml:space="preserve">Source submitted its </w:t>
      </w:r>
      <w:r>
        <w:rPr>
          <w:rFonts w:ascii="Book Antiqua" w:hAnsi="Book Antiqua"/>
        </w:rPr>
        <w:t>ISS</w:t>
      </w:r>
      <w:r w:rsidRPr="00DA04EE">
        <w:rPr>
          <w:rFonts w:ascii="Book Antiqua" w:hAnsi="Book Antiqua"/>
        </w:rPr>
        <w:t xml:space="preserve"> system</w:t>
      </w:r>
      <w:r>
        <w:rPr>
          <w:rFonts w:ascii="Book Antiqua" w:hAnsi="Book Antiqua"/>
        </w:rPr>
        <w:t>, including the Source Ammunition Bag, to the MoD for evaluation to Virtus in April 2014</w:t>
      </w:r>
      <w:r w:rsidRPr="00DA04EE">
        <w:rPr>
          <w:rFonts w:ascii="Book Antiqua" w:hAnsi="Book Antiqua"/>
        </w:rPr>
        <w:t>.</w:t>
      </w:r>
      <w:r>
        <w:rPr>
          <w:rFonts w:ascii="Book Antiqua" w:hAnsi="Book Antiqua"/>
        </w:rPr>
        <w:t xml:space="preserve"> </w:t>
      </w:r>
      <w:r w:rsidR="00B4102C" w:rsidRPr="00DA04EE">
        <w:rPr>
          <w:rFonts w:ascii="Book Antiqua" w:hAnsi="Book Antiqua"/>
        </w:rPr>
        <w:t xml:space="preserve">On 22 January 2015 Mr </w:t>
      </w:r>
      <w:r w:rsidR="00372962" w:rsidRPr="00DA04EE">
        <w:rPr>
          <w:rFonts w:ascii="Book Antiqua" w:hAnsi="Book Antiqua"/>
        </w:rPr>
        <w:t>Arazi</w:t>
      </w:r>
      <w:r>
        <w:rPr>
          <w:rFonts w:ascii="Book Antiqua" w:hAnsi="Book Antiqua"/>
        </w:rPr>
        <w:t xml:space="preserve"> informed Mr Maclean </w:t>
      </w:r>
      <w:r w:rsidR="00B4102C" w:rsidRPr="00DA04EE">
        <w:rPr>
          <w:rFonts w:ascii="Book Antiqua" w:hAnsi="Book Antiqua"/>
        </w:rPr>
        <w:t>that Source had been awarded the Virtus contract</w:t>
      </w:r>
      <w:r>
        <w:rPr>
          <w:rFonts w:ascii="Book Antiqua" w:hAnsi="Book Antiqua"/>
        </w:rPr>
        <w:t xml:space="preserve"> as prime contractor</w:t>
      </w:r>
      <w:r w:rsidR="00B4102C" w:rsidRPr="00DA04EE">
        <w:rPr>
          <w:rFonts w:ascii="Book Antiqua" w:hAnsi="Book Antiqua"/>
        </w:rPr>
        <w:t xml:space="preserve">.  </w:t>
      </w:r>
      <w:r w:rsidR="002E5F26" w:rsidRPr="00DA04EE">
        <w:rPr>
          <w:rFonts w:ascii="Book Antiqua" w:hAnsi="Book Antiqua"/>
        </w:rPr>
        <w:t>Mr Arazi</w:t>
      </w:r>
      <w:r w:rsidR="00B4102C" w:rsidRPr="00DA04EE">
        <w:rPr>
          <w:rFonts w:ascii="Book Antiqua" w:hAnsi="Book Antiqua"/>
        </w:rPr>
        <w:t xml:space="preserve"> said</w:t>
      </w:r>
      <w:r w:rsidR="002E5F26" w:rsidRPr="00DA04EE">
        <w:rPr>
          <w:rFonts w:ascii="Book Antiqua" w:hAnsi="Book Antiqua"/>
        </w:rPr>
        <w:t>:</w:t>
      </w:r>
      <w:r w:rsidR="00B4102C" w:rsidRPr="00DA04EE">
        <w:rPr>
          <w:rFonts w:ascii="Book Antiqua" w:hAnsi="Book Antiqua"/>
        </w:rPr>
        <w:t xml:space="preserve"> </w:t>
      </w:r>
      <w:r w:rsidR="00B4102C" w:rsidRPr="00DA04EE">
        <w:rPr>
          <w:rFonts w:ascii="Book Antiqua" w:hAnsi="Book Antiqua"/>
          <w:i/>
        </w:rPr>
        <w:t>“Despite the fact that the item is different from your original design, we would like to adhere to what was agreed between you and Yoki [Gill]. I therefore ask that you will review the attached [draft licence agreement], that was originally sent</w:t>
      </w:r>
      <w:r w:rsidR="00372962" w:rsidRPr="00DA04EE">
        <w:rPr>
          <w:rFonts w:ascii="Book Antiqua" w:hAnsi="Book Antiqua"/>
          <w:i/>
        </w:rPr>
        <w:t xml:space="preserve"> to you last April, and revert”</w:t>
      </w:r>
      <w:r w:rsidR="00372962" w:rsidRPr="00DA04EE">
        <w:rPr>
          <w:rFonts w:ascii="Book Antiqua" w:hAnsi="Book Antiqua"/>
        </w:rPr>
        <w:t>.</w:t>
      </w:r>
    </w:p>
    <w:p w14:paraId="59EE9B06" w14:textId="14D806AB" w:rsidR="008A1949" w:rsidRDefault="00372962" w:rsidP="009E4653">
      <w:pPr>
        <w:pStyle w:val="ParaLevel1"/>
        <w:rPr>
          <w:rFonts w:ascii="Book Antiqua" w:hAnsi="Book Antiqua"/>
        </w:rPr>
      </w:pPr>
      <w:r w:rsidRPr="00DA04EE">
        <w:rPr>
          <w:rFonts w:ascii="Book Antiqua" w:hAnsi="Book Antiqua"/>
        </w:rPr>
        <w:t xml:space="preserve">There then followed a period of discussion and negotiation between Mr Maclean, Mr Clee and Mr Arazi. The Licence </w:t>
      </w:r>
      <w:r w:rsidR="003F0EAA">
        <w:rPr>
          <w:rFonts w:ascii="Book Antiqua" w:hAnsi="Book Antiqua"/>
        </w:rPr>
        <w:t>Agreement was entered into on 12</w:t>
      </w:r>
      <w:r w:rsidRPr="00DA04EE">
        <w:rPr>
          <w:rFonts w:ascii="Book Antiqua" w:hAnsi="Book Antiqua"/>
        </w:rPr>
        <w:t xml:space="preserve"> February 2015.</w:t>
      </w:r>
      <w:r w:rsidR="008A1949">
        <w:rPr>
          <w:rFonts w:ascii="Book Antiqua" w:hAnsi="Book Antiqua"/>
        </w:rPr>
        <w:t xml:space="preserve"> </w:t>
      </w:r>
    </w:p>
    <w:p w14:paraId="088A73C0" w14:textId="16D202D7" w:rsidR="00372962" w:rsidRPr="00DA04EE" w:rsidRDefault="00372962" w:rsidP="009E4653">
      <w:pPr>
        <w:pStyle w:val="ParaLevel1"/>
        <w:rPr>
          <w:rFonts w:ascii="Book Antiqua" w:hAnsi="Book Antiqua"/>
        </w:rPr>
      </w:pPr>
      <w:r w:rsidRPr="00DA04EE">
        <w:rPr>
          <w:rFonts w:ascii="Book Antiqua" w:hAnsi="Book Antiqua"/>
        </w:rPr>
        <w:t xml:space="preserve">Source began to deliver Virtus equipment in September 2015. Mr Maclean saw a physical example of the </w:t>
      </w:r>
      <w:r w:rsidR="00BF1F22">
        <w:rPr>
          <w:rFonts w:ascii="Book Antiqua" w:hAnsi="Book Antiqua"/>
        </w:rPr>
        <w:t>Source Ammunition Bag for the first time</w:t>
      </w:r>
      <w:r w:rsidRPr="00DA04EE">
        <w:rPr>
          <w:rFonts w:ascii="Book Antiqua" w:hAnsi="Book Antiqua"/>
        </w:rPr>
        <w:t xml:space="preserve"> on 17 September 2015 at the Defence and Security Exhibition in London. He noted that Source had not incorporated the retaining strap or the marker patch, and was concerned to see that the Ammunition was incorrectly loaded</w:t>
      </w:r>
      <w:r w:rsidR="004851AF">
        <w:rPr>
          <w:rFonts w:ascii="Book Antiqua" w:hAnsi="Book Antiqua"/>
        </w:rPr>
        <w:t xml:space="preserve"> in the Source Ammunition Bag on display</w:t>
      </w:r>
      <w:r w:rsidR="00BA6D7E" w:rsidRPr="00DA04EE">
        <w:rPr>
          <w:rFonts w:ascii="Book Antiqua" w:hAnsi="Book Antiqua"/>
        </w:rPr>
        <w:t>.</w:t>
      </w:r>
      <w:r w:rsidR="00C1554F" w:rsidRPr="00DA04EE">
        <w:rPr>
          <w:rFonts w:ascii="Book Antiqua" w:hAnsi="Book Antiqua"/>
        </w:rPr>
        <w:t xml:space="preserve"> M</w:t>
      </w:r>
      <w:r w:rsidR="00BF1F22">
        <w:rPr>
          <w:rFonts w:ascii="Book Antiqua" w:hAnsi="Book Antiqua"/>
        </w:rPr>
        <w:t xml:space="preserve">r Clee in oral evidence </w:t>
      </w:r>
      <w:r w:rsidR="003F152B">
        <w:rPr>
          <w:rFonts w:ascii="Book Antiqua" w:hAnsi="Book Antiqua"/>
        </w:rPr>
        <w:t>said that he didn’t know whether</w:t>
      </w:r>
      <w:r w:rsidR="00C1554F" w:rsidRPr="00DA04EE">
        <w:rPr>
          <w:rFonts w:ascii="Book Antiqua" w:hAnsi="Book Antiqua"/>
        </w:rPr>
        <w:t xml:space="preserve"> </w:t>
      </w:r>
      <w:r w:rsidR="0043299B">
        <w:rPr>
          <w:rFonts w:ascii="Book Antiqua" w:hAnsi="Book Antiqua"/>
        </w:rPr>
        <w:t xml:space="preserve">Source </w:t>
      </w:r>
      <w:r w:rsidR="003F152B">
        <w:rPr>
          <w:rFonts w:ascii="Book Antiqua" w:hAnsi="Book Antiqua"/>
        </w:rPr>
        <w:t>had ever affixed</w:t>
      </w:r>
      <w:r w:rsidR="0043299B">
        <w:rPr>
          <w:rFonts w:ascii="Book Antiqua" w:hAnsi="Book Antiqua"/>
        </w:rPr>
        <w:t xml:space="preserve"> a</w:t>
      </w:r>
      <w:r w:rsidR="00BF1F22">
        <w:rPr>
          <w:rFonts w:ascii="Book Antiqua" w:hAnsi="Book Antiqua"/>
        </w:rPr>
        <w:t xml:space="preserve"> </w:t>
      </w:r>
      <w:r w:rsidR="00C1554F" w:rsidRPr="00DA04EE">
        <w:rPr>
          <w:rFonts w:ascii="Book Antiqua" w:hAnsi="Book Antiqua"/>
        </w:rPr>
        <w:t xml:space="preserve">marker patch on the </w:t>
      </w:r>
      <w:r w:rsidR="00354655">
        <w:rPr>
          <w:rFonts w:ascii="Book Antiqua" w:hAnsi="Book Antiqua"/>
        </w:rPr>
        <w:t>Source Ammunition Bag</w:t>
      </w:r>
      <w:r w:rsidR="00EF35A9">
        <w:rPr>
          <w:rFonts w:ascii="Book Antiqua" w:hAnsi="Book Antiqua"/>
        </w:rPr>
        <w:t xml:space="preserve"> (although </w:t>
      </w:r>
      <w:r w:rsidR="0043299B">
        <w:rPr>
          <w:rFonts w:ascii="Book Antiqua" w:hAnsi="Book Antiqua"/>
        </w:rPr>
        <w:t>it affixed a</w:t>
      </w:r>
      <w:r w:rsidR="00EF35A9">
        <w:rPr>
          <w:rFonts w:ascii="Book Antiqua" w:hAnsi="Book Antiqua"/>
        </w:rPr>
        <w:t xml:space="preserve"> marker patch </w:t>
      </w:r>
      <w:r w:rsidR="00ED28D8">
        <w:rPr>
          <w:rFonts w:ascii="Book Antiqua" w:hAnsi="Book Antiqua"/>
        </w:rPr>
        <w:t xml:space="preserve">very similar to that used by Excel on the Link-Tail </w:t>
      </w:r>
      <w:r w:rsidR="00EF35A9">
        <w:rPr>
          <w:rFonts w:ascii="Book Antiqua" w:hAnsi="Book Antiqua"/>
        </w:rPr>
        <w:t xml:space="preserve">to the </w:t>
      </w:r>
      <w:r w:rsidR="004E37B4">
        <w:rPr>
          <w:rFonts w:ascii="Book Antiqua" w:hAnsi="Book Antiqua"/>
        </w:rPr>
        <w:t xml:space="preserve">later-produced </w:t>
      </w:r>
      <w:r w:rsidR="00EF35A9">
        <w:rPr>
          <w:rFonts w:ascii="Book Antiqua" w:hAnsi="Book Antiqua"/>
        </w:rPr>
        <w:t>2017 Bag)</w:t>
      </w:r>
      <w:r w:rsidR="00C1554F" w:rsidRPr="00DA04EE">
        <w:rPr>
          <w:rFonts w:ascii="Book Antiqua" w:hAnsi="Book Antiqua"/>
        </w:rPr>
        <w:t>.</w:t>
      </w:r>
      <w:r w:rsidR="005F1A46">
        <w:rPr>
          <w:rFonts w:ascii="Book Antiqua" w:hAnsi="Book Antiqua"/>
        </w:rPr>
        <w:t xml:space="preserve"> I accept there were none on the version displayed at the defence exhibition or photographed for the training materials.</w:t>
      </w:r>
    </w:p>
    <w:p w14:paraId="5E0206BD" w14:textId="2D0A8C5E" w:rsidR="00021C91" w:rsidRDefault="00354655" w:rsidP="009E4653">
      <w:pPr>
        <w:pStyle w:val="ParaLevel1"/>
        <w:rPr>
          <w:rFonts w:ascii="Book Antiqua" w:hAnsi="Book Antiqua"/>
        </w:rPr>
      </w:pPr>
      <w:r>
        <w:rPr>
          <w:rFonts w:ascii="Book Antiqua" w:hAnsi="Book Antiqua"/>
        </w:rPr>
        <w:t xml:space="preserve">Mr Maclean </w:t>
      </w:r>
      <w:r w:rsidR="004851AF">
        <w:rPr>
          <w:rFonts w:ascii="Book Antiqua" w:hAnsi="Book Antiqua"/>
        </w:rPr>
        <w:t>emailed Mr Arazi on 22 October 2015 asking for samples of the Source Ammunition Bag and a copy of the training documents</w:t>
      </w:r>
      <w:r w:rsidR="005F1A46">
        <w:rPr>
          <w:rFonts w:ascii="Book Antiqua" w:hAnsi="Book Antiqua"/>
        </w:rPr>
        <w:t xml:space="preserve"> produced by Source</w:t>
      </w:r>
      <w:r w:rsidR="00631850">
        <w:rPr>
          <w:rFonts w:ascii="Book Antiqua" w:hAnsi="Book Antiqua"/>
        </w:rPr>
        <w:t xml:space="preserve">. When he received them, he </w:t>
      </w:r>
      <w:r w:rsidR="008A1949">
        <w:rPr>
          <w:rFonts w:ascii="Book Antiqua" w:hAnsi="Book Antiqua"/>
        </w:rPr>
        <w:t xml:space="preserve">was concerned to note </w:t>
      </w:r>
      <w:r w:rsidR="00631850">
        <w:rPr>
          <w:rFonts w:ascii="Book Antiqua" w:hAnsi="Book Antiqua"/>
        </w:rPr>
        <w:t>that in</w:t>
      </w:r>
      <w:r>
        <w:rPr>
          <w:rFonts w:ascii="Book Antiqua" w:hAnsi="Book Antiqua"/>
        </w:rPr>
        <w:t xml:space="preserve"> Source’s instruction leaflet</w:t>
      </w:r>
      <w:r w:rsidR="00631850" w:rsidRPr="008A1949">
        <w:rPr>
          <w:rFonts w:ascii="Book Antiqua" w:hAnsi="Book Antiqua"/>
        </w:rPr>
        <w:t>,</w:t>
      </w:r>
      <w:r w:rsidR="00021C91" w:rsidRPr="008A1949">
        <w:rPr>
          <w:rFonts w:ascii="Book Antiqua" w:hAnsi="Book Antiqua"/>
        </w:rPr>
        <w:t xml:space="preserve"> </w:t>
      </w:r>
      <w:r w:rsidR="008A1949" w:rsidRPr="008A1949">
        <w:rPr>
          <w:rFonts w:ascii="Book Antiqua" w:hAnsi="Book Antiqua"/>
          <w:i/>
        </w:rPr>
        <w:t>inter alia,</w:t>
      </w:r>
      <w:r w:rsidR="008A1949">
        <w:rPr>
          <w:rFonts w:ascii="Book Antiqua" w:hAnsi="Book Antiqua"/>
        </w:rPr>
        <w:t xml:space="preserve"> </w:t>
      </w:r>
      <w:r w:rsidR="00021C91">
        <w:rPr>
          <w:rFonts w:ascii="Book Antiqua" w:hAnsi="Book Antiqua"/>
        </w:rPr>
        <w:t xml:space="preserve">two of the three photographs </w:t>
      </w:r>
      <w:r w:rsidR="00631850">
        <w:rPr>
          <w:rFonts w:ascii="Book Antiqua" w:hAnsi="Book Antiqua"/>
        </w:rPr>
        <w:t xml:space="preserve">showed </w:t>
      </w:r>
      <w:r w:rsidR="00021C91">
        <w:rPr>
          <w:rFonts w:ascii="Book Antiqua" w:hAnsi="Book Antiqua"/>
        </w:rPr>
        <w:t xml:space="preserve">the ammunition loaded the wrong way up, i.e. </w:t>
      </w:r>
      <w:r w:rsidR="00B526F4">
        <w:rPr>
          <w:rFonts w:ascii="Book Antiqua" w:hAnsi="Book Antiqua"/>
        </w:rPr>
        <w:t xml:space="preserve">brass-side up, </w:t>
      </w:r>
      <w:r w:rsidR="00021C91">
        <w:rPr>
          <w:rFonts w:ascii="Book Antiqua" w:hAnsi="Book Antiqua"/>
        </w:rPr>
        <w:t xml:space="preserve">not </w:t>
      </w:r>
      <w:r w:rsidR="00A279C2">
        <w:rPr>
          <w:rFonts w:ascii="Book Antiqua" w:hAnsi="Book Antiqua"/>
        </w:rPr>
        <w:t>link</w:t>
      </w:r>
      <w:r w:rsidR="00021C91">
        <w:rPr>
          <w:rFonts w:ascii="Book Antiqua" w:hAnsi="Book Antiqua"/>
        </w:rPr>
        <w:t>-side up, as was required for proper delivery to the gun. See Image 6 below:</w:t>
      </w:r>
    </w:p>
    <w:p w14:paraId="4F78A2CC" w14:textId="636F75DD" w:rsidR="00B4102C" w:rsidRPr="00DA04EE" w:rsidRDefault="00021C91" w:rsidP="009E4653">
      <w:pPr>
        <w:pStyle w:val="ParaLevel1"/>
        <w:numPr>
          <w:ilvl w:val="0"/>
          <w:numId w:val="0"/>
        </w:numPr>
        <w:ind w:left="862"/>
        <w:rPr>
          <w:rFonts w:ascii="Book Antiqua" w:hAnsi="Book Antiqua"/>
        </w:rPr>
      </w:pPr>
      <w:r>
        <w:rPr>
          <w:rFonts w:ascii="Book Antiqua" w:hAnsi="Book Antiqua"/>
        </w:rPr>
        <w:t xml:space="preserve"> </w:t>
      </w:r>
      <w:r w:rsidR="00B526F4">
        <w:rPr>
          <w:rFonts w:ascii="Book Antiqua" w:hAnsi="Book Antiqua"/>
          <w:noProof/>
          <w:lang w:val="nl-NL" w:eastAsia="nl-NL"/>
        </w:rPr>
        <w:drawing>
          <wp:inline distT="0" distB="0" distL="0" distR="0" wp14:anchorId="25C0F161" wp14:editId="41F63E7B">
            <wp:extent cx="4079820" cy="2743200"/>
            <wp:effectExtent l="0" t="0" r="1016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080841" cy="2743886"/>
                    </a:xfrm>
                    <a:prstGeom prst="rect">
                      <a:avLst/>
                    </a:prstGeom>
                    <a:noFill/>
                    <a:ln>
                      <a:noFill/>
                    </a:ln>
                  </pic:spPr>
                </pic:pic>
              </a:graphicData>
            </a:graphic>
          </wp:inline>
        </w:drawing>
      </w:r>
    </w:p>
    <w:p w14:paraId="11C39F11" w14:textId="4C2787C4" w:rsidR="005F1A46" w:rsidRDefault="005F1A46" w:rsidP="009E4653">
      <w:pPr>
        <w:pStyle w:val="ParaLevel1"/>
        <w:rPr>
          <w:rFonts w:ascii="Book Antiqua" w:hAnsi="Book Antiqua"/>
        </w:rPr>
      </w:pPr>
      <w:r>
        <w:rPr>
          <w:rFonts w:ascii="Book Antiqua" w:hAnsi="Book Antiqua"/>
        </w:rPr>
        <w:t>Mr Clee accepted in cross-examination that these photographs were wrong</w:t>
      </w:r>
      <w:r w:rsidR="00B70959">
        <w:rPr>
          <w:rFonts w:ascii="Book Antiqua" w:hAnsi="Book Antiqua"/>
        </w:rPr>
        <w:t>,</w:t>
      </w:r>
      <w:r>
        <w:rPr>
          <w:rFonts w:ascii="Book Antiqua" w:hAnsi="Book Antiqua"/>
        </w:rPr>
        <w:t xml:space="preserve"> that a user who followed them would load the ammunition incorrectly, and it appeared that users were being taught how to load the ammunition incorrectly by Source’s sub-contracted trainers, Falco-P.</w:t>
      </w:r>
    </w:p>
    <w:p w14:paraId="52208872" w14:textId="5D13646B" w:rsidR="00631850" w:rsidRPr="000643E5" w:rsidRDefault="00631850" w:rsidP="009E4653">
      <w:pPr>
        <w:pStyle w:val="ParaLevel1"/>
        <w:rPr>
          <w:rFonts w:ascii="Book Antiqua" w:hAnsi="Book Antiqua"/>
        </w:rPr>
      </w:pPr>
      <w:r>
        <w:rPr>
          <w:rFonts w:ascii="Book Antiqua" w:hAnsi="Book Antiqua"/>
        </w:rPr>
        <w:t>This discovery broadly coincided with information provided</w:t>
      </w:r>
      <w:r w:rsidR="008A1949">
        <w:rPr>
          <w:rFonts w:ascii="Book Antiqua" w:hAnsi="Book Antiqua"/>
        </w:rPr>
        <w:t xml:space="preserve"> to </w:t>
      </w:r>
      <w:r w:rsidR="005F1A46">
        <w:rPr>
          <w:rFonts w:ascii="Book Antiqua" w:hAnsi="Book Antiqua"/>
        </w:rPr>
        <w:t>Mr Maclean</w:t>
      </w:r>
      <w:r>
        <w:rPr>
          <w:rFonts w:ascii="Book Antiqua" w:hAnsi="Book Antiqua"/>
        </w:rPr>
        <w:t xml:space="preserve"> by Andy Lynch, who had spoken to soldiers training in Northumberland using the Source Ammunition Bag, that they were unsatisfied with it because of feed issues. As Mr Maclean states in his witness statement</w:t>
      </w:r>
      <w:r w:rsidR="0043299B">
        <w:rPr>
          <w:rFonts w:ascii="Book Antiqua" w:hAnsi="Book Antiqua"/>
        </w:rPr>
        <w:t>:</w:t>
      </w:r>
      <w:r>
        <w:rPr>
          <w:rFonts w:ascii="Book Antiqua" w:hAnsi="Book Antiqua"/>
        </w:rPr>
        <w:t xml:space="preserve"> </w:t>
      </w:r>
      <w:r w:rsidRPr="000643E5">
        <w:rPr>
          <w:rFonts w:ascii="Book Antiqua" w:hAnsi="Book Antiqua"/>
          <w:i/>
        </w:rPr>
        <w:t>“I became se</w:t>
      </w:r>
      <w:r w:rsidR="00850B28" w:rsidRPr="000643E5">
        <w:rPr>
          <w:rFonts w:ascii="Book Antiqua" w:hAnsi="Book Antiqua"/>
          <w:i/>
        </w:rPr>
        <w:t>riously concerned that not only</w:t>
      </w:r>
      <w:r w:rsidRPr="000643E5">
        <w:rPr>
          <w:rFonts w:ascii="Book Antiqua" w:hAnsi="Book Antiqua"/>
          <w:i/>
        </w:rPr>
        <w:t xml:space="preserve"> was the product incorrect and missing two vital components </w:t>
      </w:r>
      <w:r w:rsidR="000643E5" w:rsidRPr="000643E5">
        <w:rPr>
          <w:rFonts w:ascii="Book Antiqua" w:hAnsi="Book Antiqua"/>
          <w:i/>
        </w:rPr>
        <w:t>(the stra</w:t>
      </w:r>
      <w:r w:rsidR="00850B28" w:rsidRPr="000643E5">
        <w:rPr>
          <w:rFonts w:ascii="Book Antiqua" w:hAnsi="Book Antiqua"/>
          <w:i/>
        </w:rPr>
        <w:t>p and the marker patch) but also that the training literature was</w:t>
      </w:r>
      <w:r w:rsidR="000643E5" w:rsidRPr="000643E5">
        <w:rPr>
          <w:rFonts w:ascii="Book Antiqua" w:hAnsi="Book Antiqua"/>
          <w:i/>
        </w:rPr>
        <w:t xml:space="preserve"> </w:t>
      </w:r>
      <w:r w:rsidR="00850B28" w:rsidRPr="000643E5">
        <w:rPr>
          <w:rFonts w:ascii="Book Antiqua" w:hAnsi="Book Antiqua"/>
          <w:i/>
        </w:rPr>
        <w:t>teaching users to load the ammunition back to front, which would have become apparent i</w:t>
      </w:r>
      <w:r w:rsidR="000643E5" w:rsidRPr="000643E5">
        <w:rPr>
          <w:rFonts w:ascii="Book Antiqua" w:hAnsi="Book Antiqua"/>
          <w:i/>
        </w:rPr>
        <w:t>f the marker patch was present”.</w:t>
      </w:r>
      <w:r w:rsidR="000643E5">
        <w:rPr>
          <w:rFonts w:ascii="Book Antiqua" w:hAnsi="Book Antiqua"/>
          <w:i/>
        </w:rPr>
        <w:t xml:space="preserve"> </w:t>
      </w:r>
      <w:r w:rsidR="000643E5" w:rsidRPr="000643E5">
        <w:rPr>
          <w:rFonts w:ascii="Book Antiqua" w:hAnsi="Book Antiqua"/>
        </w:rPr>
        <w:t>He emailed Mr Clee with his concerns but received no response. Accordingly he sent an email to ITDU on 16 December 2016 setting out his concerns and offering to modify the Source Ammunition Bags already in service by addition of the patch and the tensioning strap. When he received no response, he sent the same email to a friend in the Defence Ordnance Safety Group asking for it to be forwarded to ITDU. These ar</w:t>
      </w:r>
      <w:r w:rsidR="00EF35A9">
        <w:rPr>
          <w:rFonts w:ascii="Book Antiqua" w:hAnsi="Book Antiqua"/>
        </w:rPr>
        <w:t xml:space="preserve">e the emails that Source </w:t>
      </w:r>
      <w:r w:rsidR="0043299B">
        <w:rPr>
          <w:rFonts w:ascii="Book Antiqua" w:hAnsi="Book Antiqua"/>
        </w:rPr>
        <w:t xml:space="preserve">has </w:t>
      </w:r>
      <w:r w:rsidR="00EF35A9">
        <w:rPr>
          <w:rFonts w:ascii="Book Antiqua" w:hAnsi="Book Antiqua"/>
        </w:rPr>
        <w:t>objected</w:t>
      </w:r>
      <w:r w:rsidR="000643E5" w:rsidRPr="000643E5">
        <w:rPr>
          <w:rFonts w:ascii="Book Antiqua" w:hAnsi="Book Antiqua"/>
        </w:rPr>
        <w:t xml:space="preserve"> to</w:t>
      </w:r>
      <w:r w:rsidR="0043299B">
        <w:rPr>
          <w:rFonts w:ascii="Book Antiqua" w:hAnsi="Book Antiqua"/>
        </w:rPr>
        <w:t>, and which catalysed this dispute</w:t>
      </w:r>
      <w:r w:rsidR="000643E5" w:rsidRPr="000643E5">
        <w:rPr>
          <w:rFonts w:ascii="Book Antiqua" w:hAnsi="Book Antiqua"/>
        </w:rPr>
        <w:t>.</w:t>
      </w:r>
    </w:p>
    <w:p w14:paraId="10E15116" w14:textId="164FFD16" w:rsidR="000643E5" w:rsidRDefault="00B526F4" w:rsidP="009E4653">
      <w:pPr>
        <w:pStyle w:val="ParaLevel1"/>
        <w:rPr>
          <w:rFonts w:ascii="Book Antiqua" w:hAnsi="Book Antiqua"/>
        </w:rPr>
      </w:pPr>
      <w:r>
        <w:rPr>
          <w:rFonts w:ascii="Book Antiqua" w:hAnsi="Book Antiqua"/>
        </w:rPr>
        <w:t xml:space="preserve">Mr Gill </w:t>
      </w:r>
      <w:r w:rsidR="007B76CC">
        <w:rPr>
          <w:rFonts w:ascii="Book Antiqua" w:hAnsi="Book Antiqua"/>
        </w:rPr>
        <w:t>says</w:t>
      </w:r>
      <w:r>
        <w:rPr>
          <w:rFonts w:ascii="Book Antiqua" w:hAnsi="Book Antiqua"/>
        </w:rPr>
        <w:t xml:space="preserve"> that </w:t>
      </w:r>
      <w:r w:rsidR="007B76CC">
        <w:rPr>
          <w:rFonts w:ascii="Book Antiqua" w:hAnsi="Book Antiqua"/>
        </w:rPr>
        <w:t>in or around November 2016 he was told by Mr Clee that units were not fully utilising the</w:t>
      </w:r>
      <w:r>
        <w:rPr>
          <w:rFonts w:ascii="Book Antiqua" w:hAnsi="Book Antiqua"/>
        </w:rPr>
        <w:t xml:space="preserve"> Source Ammunition B</w:t>
      </w:r>
      <w:r w:rsidR="000B050C" w:rsidRPr="00DA04EE">
        <w:rPr>
          <w:rFonts w:ascii="Book Antiqua" w:hAnsi="Book Antiqua"/>
        </w:rPr>
        <w:t>ag</w:t>
      </w:r>
      <w:r w:rsidR="007B76CC">
        <w:rPr>
          <w:rFonts w:ascii="Book Antiqua" w:hAnsi="Book Antiqua"/>
        </w:rPr>
        <w:t xml:space="preserve"> and that it</w:t>
      </w:r>
      <w:r w:rsidR="000B050C" w:rsidRPr="00DA04EE">
        <w:rPr>
          <w:rFonts w:ascii="Book Antiqua" w:hAnsi="Book Antiqua"/>
        </w:rPr>
        <w:t xml:space="preserve"> was often loaded or used incorrectly</w:t>
      </w:r>
      <w:r w:rsidR="007B76CC">
        <w:rPr>
          <w:rFonts w:ascii="Book Antiqua" w:hAnsi="Book Antiqua"/>
        </w:rPr>
        <w:t xml:space="preserve"> because soldiers were not properly placing the ammunition into it</w:t>
      </w:r>
      <w:r w:rsidR="000B050C" w:rsidRPr="00DA04EE">
        <w:rPr>
          <w:rFonts w:ascii="Book Antiqua" w:hAnsi="Book Antiqua"/>
        </w:rPr>
        <w:t>.</w:t>
      </w:r>
      <w:r w:rsidR="000643E5" w:rsidRPr="000643E5">
        <w:rPr>
          <w:rFonts w:ascii="Book Antiqua" w:hAnsi="Book Antiqua"/>
        </w:rPr>
        <w:t xml:space="preserve"> </w:t>
      </w:r>
      <w:r w:rsidR="005F1A46">
        <w:rPr>
          <w:rFonts w:ascii="Book Antiqua" w:hAnsi="Book Antiqua"/>
        </w:rPr>
        <w:t>This information arose as feedback from a field exercise with the 2</w:t>
      </w:r>
      <w:r w:rsidR="005F1A46" w:rsidRPr="005F1A46">
        <w:rPr>
          <w:rFonts w:ascii="Book Antiqua" w:hAnsi="Book Antiqua"/>
          <w:vertAlign w:val="superscript"/>
        </w:rPr>
        <w:t>nd</w:t>
      </w:r>
      <w:r w:rsidR="005F1A46">
        <w:rPr>
          <w:rFonts w:ascii="Book Antiqua" w:hAnsi="Book Antiqua"/>
        </w:rPr>
        <w:t xml:space="preserve"> Battalion Parachute Regiment. </w:t>
      </w:r>
      <w:r w:rsidR="0043299B">
        <w:rPr>
          <w:rFonts w:ascii="Book Antiqua" w:hAnsi="Book Antiqua"/>
        </w:rPr>
        <w:t>In his witness evidence</w:t>
      </w:r>
      <w:r w:rsidR="005F1A46">
        <w:rPr>
          <w:rFonts w:ascii="Book Antiqua" w:hAnsi="Book Antiqua"/>
        </w:rPr>
        <w:t>,</w:t>
      </w:r>
      <w:r w:rsidR="0043299B">
        <w:rPr>
          <w:rFonts w:ascii="Book Antiqua" w:hAnsi="Book Antiqua"/>
        </w:rPr>
        <w:t xml:space="preserve"> </w:t>
      </w:r>
      <w:r w:rsidR="005F1A46">
        <w:rPr>
          <w:rFonts w:ascii="Book Antiqua" w:hAnsi="Book Antiqua"/>
        </w:rPr>
        <w:t>Mr Gill</w:t>
      </w:r>
      <w:r w:rsidR="007B76CC">
        <w:rPr>
          <w:rFonts w:ascii="Book Antiqua" w:hAnsi="Book Antiqua"/>
        </w:rPr>
        <w:t xml:space="preserve"> attributes this to the zipper design, which he says meant that users needed to ensure that they laid the non-feed end of the linked ammunition into the Source Ammunition Bag first, and starting at the open end, and then fold the ammunition back over</w:t>
      </w:r>
      <w:r w:rsidR="00C34432">
        <w:rPr>
          <w:rFonts w:ascii="Book Antiqua" w:hAnsi="Book Antiqua"/>
        </w:rPr>
        <w:t xml:space="preserve"> </w:t>
      </w:r>
      <w:r w:rsidR="007B76CC">
        <w:rPr>
          <w:rFonts w:ascii="Book Antiqua" w:hAnsi="Book Antiqua"/>
        </w:rPr>
        <w:t xml:space="preserve">itself to ensure that the feed end of the ammunition ended up at the top of the bag so it could be fed into a weapon. </w:t>
      </w:r>
      <w:r w:rsidR="0043299B">
        <w:rPr>
          <w:rFonts w:ascii="Book Antiqua" w:hAnsi="Book Antiqua"/>
        </w:rPr>
        <w:t>He</w:t>
      </w:r>
      <w:r w:rsidR="00C34432">
        <w:rPr>
          <w:rFonts w:ascii="Book Antiqua" w:hAnsi="Book Antiqua"/>
        </w:rPr>
        <w:t xml:space="preserve"> says </w:t>
      </w:r>
      <w:r w:rsidR="00C34432" w:rsidRPr="00A04B1D">
        <w:rPr>
          <w:rFonts w:ascii="Book Antiqua" w:hAnsi="Book Antiqua"/>
          <w:i/>
        </w:rPr>
        <w:t>“users found this non-intuitive”</w:t>
      </w:r>
      <w:r w:rsidR="00C34432">
        <w:rPr>
          <w:rFonts w:ascii="Book Antiqua" w:hAnsi="Book Antiqua"/>
        </w:rPr>
        <w:t xml:space="preserve"> and occasionally loaded the ammunition into the bag so that the non-feed end of the ammunition ended up at the top of the bag</w:t>
      </w:r>
      <w:r w:rsidR="0043299B">
        <w:rPr>
          <w:rFonts w:ascii="Book Antiqua" w:hAnsi="Book Antiqua"/>
        </w:rPr>
        <w:t>, which was incorrect</w:t>
      </w:r>
      <w:r w:rsidR="00C34432">
        <w:rPr>
          <w:rFonts w:ascii="Book Antiqua" w:hAnsi="Book Antiqua"/>
        </w:rPr>
        <w:t xml:space="preserve">. </w:t>
      </w:r>
    </w:p>
    <w:p w14:paraId="12FD7696" w14:textId="29C9B7CC" w:rsidR="00C34432" w:rsidRDefault="0043299B" w:rsidP="009E4653">
      <w:pPr>
        <w:pStyle w:val="ParaLevel1"/>
        <w:rPr>
          <w:rFonts w:ascii="Book Antiqua" w:hAnsi="Book Antiqua"/>
        </w:rPr>
      </w:pPr>
      <w:r>
        <w:rPr>
          <w:rFonts w:ascii="Book Antiqua" w:hAnsi="Book Antiqua"/>
        </w:rPr>
        <w:t>Mr Gill’s</w:t>
      </w:r>
      <w:r w:rsidR="00A04B1D">
        <w:rPr>
          <w:rFonts w:ascii="Book Antiqua" w:hAnsi="Book Antiqua"/>
        </w:rPr>
        <w:t xml:space="preserve"> wording is exactly mirrored in Mr Clee’s witness statement</w:t>
      </w:r>
      <w:r w:rsidR="00EF35A9">
        <w:rPr>
          <w:rFonts w:ascii="Book Antiqua" w:hAnsi="Book Antiqua"/>
        </w:rPr>
        <w:t>.</w:t>
      </w:r>
      <w:r w:rsidR="00A04B1D">
        <w:rPr>
          <w:rFonts w:ascii="Book Antiqua" w:hAnsi="Book Antiqua"/>
        </w:rPr>
        <w:t xml:space="preserve"> </w:t>
      </w:r>
      <w:r w:rsidR="00C34432">
        <w:rPr>
          <w:rFonts w:ascii="Book Antiqua" w:hAnsi="Book Antiqua"/>
        </w:rPr>
        <w:t xml:space="preserve">Mr Clee accepted in cross-examination that there is no evidence to support </w:t>
      </w:r>
      <w:r w:rsidR="00A04B1D">
        <w:rPr>
          <w:rFonts w:ascii="Book Antiqua" w:hAnsi="Book Antiqua"/>
        </w:rPr>
        <w:t>the</w:t>
      </w:r>
      <w:r w:rsidR="00C34432">
        <w:rPr>
          <w:rFonts w:ascii="Book Antiqua" w:hAnsi="Book Antiqua"/>
        </w:rPr>
        <w:t xml:space="preserve"> statement that </w:t>
      </w:r>
      <w:r w:rsidR="00C34432" w:rsidRPr="00EF35A9">
        <w:rPr>
          <w:rFonts w:ascii="Book Antiqua" w:hAnsi="Book Antiqua"/>
          <w:i/>
        </w:rPr>
        <w:t>“users found this non-intuitive”.</w:t>
      </w:r>
      <w:r w:rsidR="00C34432">
        <w:rPr>
          <w:rFonts w:ascii="Book Antiqua" w:hAnsi="Book Antiqua"/>
        </w:rPr>
        <w:t xml:space="preserve"> </w:t>
      </w:r>
      <w:r w:rsidR="00AC28B7">
        <w:rPr>
          <w:rFonts w:ascii="Book Antiqua" w:hAnsi="Book Antiqua"/>
        </w:rPr>
        <w:t xml:space="preserve">He accepted that the problems may have arisen from the faults with the training and instruction leaflet, and the absence of a marker patch. He accepted that a marker patch on the Source Ammunition Bag would have been even more helpful, given the inadequacies of the training and instruction leaflet. I remind myself that </w:t>
      </w:r>
      <w:r w:rsidR="00EF35A9">
        <w:rPr>
          <w:rFonts w:ascii="Book Antiqua" w:hAnsi="Book Antiqua"/>
        </w:rPr>
        <w:t>the feedback from the URBEX 2012 trial</w:t>
      </w:r>
      <w:r w:rsidR="00C34432">
        <w:rPr>
          <w:rFonts w:ascii="Book Antiqua" w:hAnsi="Book Antiqua"/>
        </w:rPr>
        <w:t xml:space="preserve"> was that users found the loading simple, but benefitted from a marker patch to show which way around the linked round should be loaded.</w:t>
      </w:r>
    </w:p>
    <w:p w14:paraId="4EC86FF1" w14:textId="73D0C629" w:rsidR="000C799D" w:rsidRDefault="0024110F" w:rsidP="009E4653">
      <w:pPr>
        <w:pStyle w:val="ParaLevel1"/>
        <w:rPr>
          <w:rFonts w:ascii="Book Antiqua" w:hAnsi="Book Antiqua"/>
        </w:rPr>
      </w:pPr>
      <w:r>
        <w:rPr>
          <w:rFonts w:ascii="Book Antiqua" w:hAnsi="Book Antiqua"/>
        </w:rPr>
        <w:t>I find that it is</w:t>
      </w:r>
      <w:r w:rsidR="00EF35A9">
        <w:rPr>
          <w:rFonts w:ascii="Book Antiqua" w:hAnsi="Book Antiqua"/>
        </w:rPr>
        <w:t xml:space="preserve"> </w:t>
      </w:r>
      <w:r w:rsidR="000C799D">
        <w:rPr>
          <w:rFonts w:ascii="Book Antiqua" w:hAnsi="Book Antiqua"/>
        </w:rPr>
        <w:t xml:space="preserve">more likely than not that the </w:t>
      </w:r>
      <w:r w:rsidR="008A1949">
        <w:rPr>
          <w:rFonts w:ascii="Book Antiqua" w:hAnsi="Book Antiqua"/>
        </w:rPr>
        <w:t>reported</w:t>
      </w:r>
      <w:r w:rsidR="000C799D">
        <w:rPr>
          <w:rFonts w:ascii="Book Antiqua" w:hAnsi="Book Antiqua"/>
        </w:rPr>
        <w:t xml:space="preserve"> failure of users to load the Source Ammunition Bag </w:t>
      </w:r>
      <w:r>
        <w:rPr>
          <w:rFonts w:ascii="Book Antiqua" w:hAnsi="Book Antiqua"/>
        </w:rPr>
        <w:t>correctly</w:t>
      </w:r>
      <w:r w:rsidR="000C799D">
        <w:rPr>
          <w:rFonts w:ascii="Book Antiqua" w:hAnsi="Book Antiqua"/>
        </w:rPr>
        <w:t xml:space="preserve"> was not because of the presence of the zipper or the recommended method of horizontal flaking the round directly into the bag, but because</w:t>
      </w:r>
      <w:r w:rsidR="008A1949">
        <w:rPr>
          <w:rFonts w:ascii="Book Antiqua" w:hAnsi="Book Antiqua"/>
        </w:rPr>
        <w:t>:</w:t>
      </w:r>
      <w:r w:rsidR="000C799D">
        <w:rPr>
          <w:rFonts w:ascii="Book Antiqua" w:hAnsi="Book Antiqua"/>
        </w:rPr>
        <w:t xml:space="preserve"> (i) there was</w:t>
      </w:r>
      <w:r w:rsidR="00A279C2">
        <w:rPr>
          <w:rFonts w:ascii="Book Antiqua" w:hAnsi="Book Antiqua"/>
        </w:rPr>
        <w:t>, on</w:t>
      </w:r>
      <w:r w:rsidR="00AC28B7">
        <w:rPr>
          <w:rFonts w:ascii="Book Antiqua" w:hAnsi="Book Antiqua"/>
        </w:rPr>
        <w:t xml:space="preserve"> the balance of probabilities,</w:t>
      </w:r>
      <w:r w:rsidR="000C799D">
        <w:rPr>
          <w:rFonts w:ascii="Book Antiqua" w:hAnsi="Book Antiqua"/>
        </w:rPr>
        <w:t xml:space="preserve"> no marker patch giving a simple visual confirmation that the feed end should be </w:t>
      </w:r>
      <w:r w:rsidR="00B70959">
        <w:rPr>
          <w:rFonts w:ascii="Book Antiqua" w:hAnsi="Book Antiqua"/>
        </w:rPr>
        <w:t>link</w:t>
      </w:r>
      <w:r w:rsidR="000C799D">
        <w:rPr>
          <w:rFonts w:ascii="Book Antiqua" w:hAnsi="Book Antiqua"/>
        </w:rPr>
        <w:t xml:space="preserve">-side up; </w:t>
      </w:r>
      <w:r w:rsidR="00ED37F5">
        <w:rPr>
          <w:rFonts w:ascii="Book Antiqua" w:hAnsi="Book Antiqua"/>
        </w:rPr>
        <w:t xml:space="preserve">and </w:t>
      </w:r>
      <w:r w:rsidR="000C799D">
        <w:rPr>
          <w:rFonts w:ascii="Book Antiqua" w:hAnsi="Book Antiqua"/>
        </w:rPr>
        <w:t>(ii) the training document showed the am</w:t>
      </w:r>
      <w:r w:rsidR="00ED37F5">
        <w:rPr>
          <w:rFonts w:ascii="Book Antiqua" w:hAnsi="Book Antiqua"/>
        </w:rPr>
        <w:t xml:space="preserve">munition bag incorrectly loaded, likely causing </w:t>
      </w:r>
      <w:r w:rsidR="000C799D">
        <w:rPr>
          <w:rFonts w:ascii="Book Antiqua" w:hAnsi="Book Antiqua"/>
        </w:rPr>
        <w:t xml:space="preserve">confusion both with users and </w:t>
      </w:r>
      <w:r w:rsidR="00ED37F5">
        <w:rPr>
          <w:rFonts w:ascii="Book Antiqua" w:hAnsi="Book Antiqua"/>
        </w:rPr>
        <w:t xml:space="preserve">potentially </w:t>
      </w:r>
      <w:r w:rsidR="000C799D">
        <w:rPr>
          <w:rFonts w:ascii="Book Antiqua" w:hAnsi="Book Antiqua"/>
        </w:rPr>
        <w:t>also</w:t>
      </w:r>
      <w:r w:rsidR="00ED37F5">
        <w:rPr>
          <w:rFonts w:ascii="Book Antiqua" w:hAnsi="Book Antiqua"/>
        </w:rPr>
        <w:t xml:space="preserve"> with</w:t>
      </w:r>
      <w:r w:rsidR="000C799D">
        <w:rPr>
          <w:rFonts w:ascii="Book Antiqua" w:hAnsi="Book Antiqua"/>
        </w:rPr>
        <w:t xml:space="preserve"> Source’s trainers, who were using that document to train units. </w:t>
      </w:r>
      <w:r w:rsidR="00ED37F5">
        <w:rPr>
          <w:rFonts w:ascii="Book Antiqua" w:hAnsi="Book Antiqua"/>
        </w:rPr>
        <w:t>Accordingly I accept Mr Maclean’s evidence that this was a training issue and could have easily been resolved by an addition of the recommended marker patch to the Source Ammunition Bag, and correct</w:t>
      </w:r>
      <w:r>
        <w:rPr>
          <w:rFonts w:ascii="Book Antiqua" w:hAnsi="Book Antiqua"/>
        </w:rPr>
        <w:t>ed</w:t>
      </w:r>
      <w:r w:rsidR="00ED37F5">
        <w:rPr>
          <w:rFonts w:ascii="Book Antiqua" w:hAnsi="Book Antiqua"/>
        </w:rPr>
        <w:t xml:space="preserve"> training documents.</w:t>
      </w:r>
    </w:p>
    <w:p w14:paraId="2A0AC681" w14:textId="25F0C140" w:rsidR="00C34432" w:rsidRDefault="00C34432" w:rsidP="009E4653">
      <w:pPr>
        <w:pStyle w:val="ParaLevel1"/>
        <w:rPr>
          <w:rFonts w:ascii="Book Antiqua" w:hAnsi="Book Antiqua"/>
        </w:rPr>
      </w:pPr>
      <w:r>
        <w:rPr>
          <w:rFonts w:ascii="Book Antiqua" w:hAnsi="Book Antiqua"/>
        </w:rPr>
        <w:t>Mr Clee’s evidence is that he was informed in late 2016</w:t>
      </w:r>
      <w:r w:rsidR="00AF2FF9">
        <w:rPr>
          <w:rFonts w:ascii="Book Antiqua" w:hAnsi="Book Antiqua"/>
        </w:rPr>
        <w:t xml:space="preserve"> </w:t>
      </w:r>
      <w:r w:rsidR="000C799D">
        <w:rPr>
          <w:rFonts w:ascii="Book Antiqua" w:hAnsi="Book Antiqua"/>
        </w:rPr>
        <w:t>by Mr Pete Hewkin, the MoD trials manager for Virtus,</w:t>
      </w:r>
      <w:r>
        <w:rPr>
          <w:rFonts w:ascii="Book Antiqua" w:hAnsi="Book Antiqua"/>
        </w:rPr>
        <w:t xml:space="preserve"> that ammunition could easily be loaded into the Source Ammunition Bag when it was</w:t>
      </w:r>
      <w:r w:rsidR="001E2183">
        <w:rPr>
          <w:rFonts w:ascii="Book Antiqua" w:hAnsi="Book Antiqua"/>
        </w:rPr>
        <w:t xml:space="preserve"> </w:t>
      </w:r>
      <w:r>
        <w:rPr>
          <w:rFonts w:ascii="Book Antiqua" w:hAnsi="Book Antiqua"/>
        </w:rPr>
        <w:t xml:space="preserve">held vertically by dropping the lined round through an opening in the top of the pouch, rather than laying it horizontally through the full-length zipper. </w:t>
      </w:r>
      <w:r w:rsidR="00AC28B7">
        <w:rPr>
          <w:rFonts w:ascii="Book Antiqua" w:hAnsi="Book Antiqua"/>
        </w:rPr>
        <w:t>Philip Gregor</w:t>
      </w:r>
      <w:r w:rsidR="00C32BD3">
        <w:rPr>
          <w:rFonts w:ascii="Book Antiqua" w:hAnsi="Book Antiqua"/>
        </w:rPr>
        <w:t>y,</w:t>
      </w:r>
      <w:r w:rsidR="00AC28B7">
        <w:rPr>
          <w:rFonts w:ascii="Book Antiqua" w:hAnsi="Book Antiqua"/>
        </w:rPr>
        <w:t xml:space="preserve"> a former Royal Marine platoon weapons instructor, started a pi</w:t>
      </w:r>
      <w:r w:rsidR="00C32BD3">
        <w:rPr>
          <w:rFonts w:ascii="Book Antiqua" w:hAnsi="Book Antiqua"/>
        </w:rPr>
        <w:t>e</w:t>
      </w:r>
      <w:r w:rsidR="00AC28B7">
        <w:rPr>
          <w:rFonts w:ascii="Book Antiqua" w:hAnsi="Book Antiqua"/>
        </w:rPr>
        <w:t>ce of work to look at the process of simplifying the bag. Source relies on two test videos produced by Mr Gr</w:t>
      </w:r>
      <w:r w:rsidR="00C32BD3">
        <w:rPr>
          <w:rFonts w:ascii="Book Antiqua" w:hAnsi="Book Antiqua"/>
        </w:rPr>
        <w:t>egory’s colleague</w:t>
      </w:r>
      <w:r w:rsidR="00AC28B7">
        <w:rPr>
          <w:rFonts w:ascii="Book Antiqua" w:hAnsi="Book Antiqua"/>
        </w:rPr>
        <w:t>, showing the new vertical loading technique, but these used a zipped up Link-Tail to demonstrate it. These show that the Link-Tail loaded in this manner without the use of the zip</w:t>
      </w:r>
      <w:r w:rsidR="00582DDE">
        <w:rPr>
          <w:rFonts w:ascii="Book Antiqua" w:hAnsi="Book Antiqua"/>
        </w:rPr>
        <w:t xml:space="preserve"> enabled </w:t>
      </w:r>
      <w:r w:rsidR="008A1949">
        <w:rPr>
          <w:rFonts w:ascii="Book Antiqua" w:hAnsi="Book Antiqua"/>
        </w:rPr>
        <w:t>‘</w:t>
      </w:r>
      <w:r w:rsidR="00582DDE">
        <w:rPr>
          <w:rFonts w:ascii="Book Antiqua" w:hAnsi="Book Antiqua"/>
        </w:rPr>
        <w:t xml:space="preserve">plug </w:t>
      </w:r>
      <w:r w:rsidR="008A1949">
        <w:rPr>
          <w:rFonts w:ascii="Book Antiqua" w:hAnsi="Book Antiqua"/>
        </w:rPr>
        <w:t>and</w:t>
      </w:r>
      <w:r w:rsidR="00582DDE">
        <w:rPr>
          <w:rFonts w:ascii="Book Antiqua" w:hAnsi="Book Antiqua"/>
        </w:rPr>
        <w:t xml:space="preserve"> play</w:t>
      </w:r>
      <w:r w:rsidR="008A1949">
        <w:rPr>
          <w:rFonts w:ascii="Book Antiqua" w:hAnsi="Book Antiqua"/>
        </w:rPr>
        <w:t>’</w:t>
      </w:r>
      <w:r w:rsidR="00582DDE">
        <w:rPr>
          <w:rFonts w:ascii="Book Antiqua" w:hAnsi="Book Antiqua"/>
        </w:rPr>
        <w:t xml:space="preserve"> firing of the </w:t>
      </w:r>
      <w:r w:rsidR="0024110F">
        <w:rPr>
          <w:rFonts w:ascii="Book Antiqua" w:hAnsi="Book Antiqua"/>
        </w:rPr>
        <w:t xml:space="preserve">linked </w:t>
      </w:r>
      <w:r w:rsidR="00582DDE">
        <w:rPr>
          <w:rFonts w:ascii="Book Antiqua" w:hAnsi="Book Antiqua"/>
        </w:rPr>
        <w:t>round in a similar manner as the horizontal loading technique</w:t>
      </w:r>
      <w:r>
        <w:rPr>
          <w:rFonts w:ascii="Book Antiqua" w:hAnsi="Book Antiqua"/>
        </w:rPr>
        <w:t>.</w:t>
      </w:r>
    </w:p>
    <w:p w14:paraId="583F9588" w14:textId="28EAC852" w:rsidR="00582DDE" w:rsidRDefault="001E2183" w:rsidP="009E4653">
      <w:pPr>
        <w:pStyle w:val="ParaLevel1"/>
        <w:rPr>
          <w:rFonts w:ascii="Book Antiqua" w:hAnsi="Book Antiqua"/>
        </w:rPr>
      </w:pPr>
      <w:r>
        <w:rPr>
          <w:rFonts w:ascii="Book Antiqua" w:hAnsi="Book Antiqua"/>
        </w:rPr>
        <w:t>Mr Gill says that, accordingly, Source set out to design a new ammunition pouch in which the ammunition was loaded from the top, eliminating the vertical zipper which was no long</w:t>
      </w:r>
      <w:r w:rsidR="00ED37F5">
        <w:rPr>
          <w:rFonts w:ascii="Book Antiqua" w:hAnsi="Book Antiqua"/>
        </w:rPr>
        <w:t>er required,</w:t>
      </w:r>
      <w:r>
        <w:rPr>
          <w:rFonts w:ascii="Book Antiqua" w:hAnsi="Book Antiqua"/>
        </w:rPr>
        <w:t xml:space="preserve"> and </w:t>
      </w:r>
      <w:r w:rsidR="00ED37F5">
        <w:rPr>
          <w:rFonts w:ascii="Book Antiqua" w:hAnsi="Book Antiqua"/>
        </w:rPr>
        <w:t>with</w:t>
      </w:r>
      <w:r>
        <w:rPr>
          <w:rFonts w:ascii="Book Antiqua" w:hAnsi="Book Antiqua"/>
        </w:rPr>
        <w:t xml:space="preserve"> a flatter, rectangular shape rather than the triangular shape of the Link-Tail and Source Ammunition Bag, to reduce the possibility of the ammunition twisting and causing feeding jams. </w:t>
      </w:r>
    </w:p>
    <w:p w14:paraId="76222D60" w14:textId="695E5691" w:rsidR="00582DDE" w:rsidRDefault="00582DDE" w:rsidP="009E4653">
      <w:pPr>
        <w:pStyle w:val="ParaLevel1"/>
        <w:rPr>
          <w:rFonts w:ascii="Book Antiqua" w:hAnsi="Book Antiqua"/>
        </w:rPr>
      </w:pPr>
      <w:r>
        <w:rPr>
          <w:rFonts w:ascii="Book Antiqua" w:hAnsi="Book Antiqua"/>
        </w:rPr>
        <w:t xml:space="preserve">Mr Clee calls this a </w:t>
      </w:r>
      <w:r w:rsidRPr="00582DDE">
        <w:rPr>
          <w:rFonts w:ascii="Book Antiqua" w:hAnsi="Book Antiqua"/>
          <w:i/>
        </w:rPr>
        <w:t>“re-think of the entire design of the ammunition pouch… which eliminated the triangular shape of the bag by removing the zipper”</w:t>
      </w:r>
      <w:r>
        <w:rPr>
          <w:rFonts w:ascii="Book Antiqua" w:hAnsi="Book Antiqua"/>
        </w:rPr>
        <w:t>. He said that he recommended that Source adapt the Q33A wh</w:t>
      </w:r>
      <w:r w:rsidR="003D5DB4">
        <w:rPr>
          <w:rFonts w:ascii="Book Antiqua" w:hAnsi="Book Antiqua"/>
        </w:rPr>
        <w:t xml:space="preserve">ich also loaded through the top. However this was flat, and </w:t>
      </w:r>
      <w:r>
        <w:rPr>
          <w:rFonts w:ascii="Book Antiqua" w:hAnsi="Book Antiqua"/>
        </w:rPr>
        <w:t>did not have a zipper</w:t>
      </w:r>
      <w:r w:rsidR="003D5DB4">
        <w:rPr>
          <w:rFonts w:ascii="Book Antiqua" w:hAnsi="Book Antiqua"/>
        </w:rPr>
        <w:t xml:space="preserve">, so if Q33A was the starting point as is Mr Clee’s evidence, his statement that he “eliminated the triangular shape of the bag by removing the zipper” cannot be correct. </w:t>
      </w:r>
      <w:r>
        <w:rPr>
          <w:rFonts w:ascii="Book Antiqua" w:hAnsi="Book Antiqua"/>
        </w:rPr>
        <w:t xml:space="preserve">He </w:t>
      </w:r>
      <w:r w:rsidR="003D5DB4">
        <w:rPr>
          <w:rFonts w:ascii="Book Antiqua" w:hAnsi="Book Antiqua"/>
        </w:rPr>
        <w:t xml:space="preserve">also </w:t>
      </w:r>
      <w:r>
        <w:rPr>
          <w:rFonts w:ascii="Book Antiqua" w:hAnsi="Book Antiqua"/>
        </w:rPr>
        <w:t xml:space="preserve">said </w:t>
      </w:r>
      <w:r w:rsidRPr="00ED37F5">
        <w:rPr>
          <w:rFonts w:ascii="Book Antiqua" w:hAnsi="Book Antiqua"/>
          <w:i/>
        </w:rPr>
        <w:t>“Source st</w:t>
      </w:r>
      <w:r w:rsidR="003D5DB4">
        <w:rPr>
          <w:rFonts w:ascii="Book Antiqua" w:hAnsi="Book Antiqua"/>
          <w:i/>
        </w:rPr>
        <w:t>arted to work with the Q33A bag</w:t>
      </w:r>
      <w:r w:rsidRPr="00ED37F5">
        <w:rPr>
          <w:rFonts w:ascii="Book Antiqua" w:hAnsi="Book Antiqua"/>
          <w:i/>
        </w:rPr>
        <w:t xml:space="preserve"> to modify it so that it satisfied all of the necessary criteria for the ISS, including widening the bag’s top opening to permit for better loading, widening the bag so it could store larger ammunition and ensuring the bag’s ability to permit feeding directly from the bag into a live weapon”</w:t>
      </w:r>
      <w:r>
        <w:rPr>
          <w:rFonts w:ascii="Book Antiqua" w:hAnsi="Book Antiqua"/>
        </w:rPr>
        <w:t>.</w:t>
      </w:r>
    </w:p>
    <w:p w14:paraId="2C2BC613" w14:textId="01B50AFA" w:rsidR="00C34432" w:rsidRDefault="00582DDE" w:rsidP="009E4653">
      <w:pPr>
        <w:pStyle w:val="ParaLevel1"/>
        <w:rPr>
          <w:rFonts w:ascii="Book Antiqua" w:hAnsi="Book Antiqua"/>
        </w:rPr>
      </w:pPr>
      <w:r>
        <w:rPr>
          <w:rFonts w:ascii="Book Antiqua" w:hAnsi="Book Antiqua"/>
        </w:rPr>
        <w:t>Mr Gill</w:t>
      </w:r>
      <w:r w:rsidR="001E2183">
        <w:rPr>
          <w:rFonts w:ascii="Book Antiqua" w:hAnsi="Book Antiqua"/>
        </w:rPr>
        <w:t xml:space="preserve"> said that the design which became the 2017 Bag </w:t>
      </w:r>
      <w:r w:rsidR="001E2183" w:rsidRPr="00343D8D">
        <w:rPr>
          <w:rFonts w:ascii="Book Antiqua" w:hAnsi="Book Antiqua"/>
          <w:i/>
        </w:rPr>
        <w:t xml:space="preserve">“effectively combined the designs of the Q33A and [Source’s] own </w:t>
      </w:r>
      <w:r w:rsidR="00343D8D" w:rsidRPr="00343D8D">
        <w:rPr>
          <w:rFonts w:ascii="Book Antiqua" w:hAnsi="Book Antiqua"/>
          <w:i/>
        </w:rPr>
        <w:t>LMG [light machine gun] p</w:t>
      </w:r>
      <w:r w:rsidR="00343D8D">
        <w:rPr>
          <w:rFonts w:ascii="Book Antiqua" w:hAnsi="Book Antiqua"/>
          <w:i/>
        </w:rPr>
        <w:t>ou</w:t>
      </w:r>
      <w:r w:rsidR="00343D8D" w:rsidRPr="00343D8D">
        <w:rPr>
          <w:rFonts w:ascii="Book Antiqua" w:hAnsi="Book Antiqua"/>
          <w:i/>
        </w:rPr>
        <w:t>ch, stretching the LMG, eliminating any zipper, adding a larger vertical opening at the top of the bag and incorporating the design elements of the Q33A”</w:t>
      </w:r>
      <w:r w:rsidR="00343D8D">
        <w:rPr>
          <w:rFonts w:ascii="Book Antiqua" w:hAnsi="Book Antiqua"/>
        </w:rPr>
        <w:t>.</w:t>
      </w:r>
      <w:r>
        <w:rPr>
          <w:rFonts w:ascii="Book Antiqua" w:hAnsi="Book Antiqua"/>
        </w:rPr>
        <w:t xml:space="preserve"> Mr Clee makes no mention of the LMG pouch in his description of </w:t>
      </w:r>
      <w:r w:rsidR="008A1949">
        <w:rPr>
          <w:rFonts w:ascii="Book Antiqua" w:hAnsi="Book Antiqua"/>
        </w:rPr>
        <w:t>how the</w:t>
      </w:r>
      <w:r>
        <w:rPr>
          <w:rFonts w:ascii="Book Antiqua" w:hAnsi="Book Antiqua"/>
        </w:rPr>
        <w:t xml:space="preserve"> </w:t>
      </w:r>
      <w:r w:rsidR="00ED37F5">
        <w:rPr>
          <w:rFonts w:ascii="Book Antiqua" w:hAnsi="Book Antiqua"/>
        </w:rPr>
        <w:t xml:space="preserve">new </w:t>
      </w:r>
      <w:r>
        <w:rPr>
          <w:rFonts w:ascii="Book Antiqua" w:hAnsi="Book Antiqua"/>
        </w:rPr>
        <w:t>design</w:t>
      </w:r>
      <w:r w:rsidR="008A1949">
        <w:rPr>
          <w:rFonts w:ascii="Book Antiqua" w:hAnsi="Book Antiqua"/>
        </w:rPr>
        <w:t xml:space="preserve"> was arrived at</w:t>
      </w:r>
      <w:r>
        <w:rPr>
          <w:rFonts w:ascii="Book Antiqua" w:hAnsi="Book Antiqua"/>
        </w:rPr>
        <w:t>.</w:t>
      </w:r>
    </w:p>
    <w:p w14:paraId="1DBA98E1" w14:textId="2CC49FB1" w:rsidR="00411006" w:rsidRDefault="00013786" w:rsidP="009E4653">
      <w:pPr>
        <w:pStyle w:val="ParaLevel1"/>
        <w:rPr>
          <w:rFonts w:ascii="Book Antiqua" w:hAnsi="Book Antiqua"/>
        </w:rPr>
      </w:pPr>
      <w:r>
        <w:rPr>
          <w:rFonts w:ascii="Book Antiqua" w:hAnsi="Book Antiqua"/>
        </w:rPr>
        <w:t xml:space="preserve">Although I accept Mr Clee as a credible witness, I believe he has convinced himself </w:t>
      </w:r>
      <w:r w:rsidRPr="00AF2FF9">
        <w:rPr>
          <w:rFonts w:ascii="Book Antiqua" w:hAnsi="Book Antiqua"/>
          <w:i/>
        </w:rPr>
        <w:t>ex post facto</w:t>
      </w:r>
      <w:r>
        <w:rPr>
          <w:rFonts w:ascii="Book Antiqua" w:hAnsi="Book Antiqua"/>
        </w:rPr>
        <w:t xml:space="preserve"> that the 2017 Bag is a </w:t>
      </w:r>
      <w:r w:rsidRPr="00AF2FF9">
        <w:rPr>
          <w:rFonts w:ascii="Book Antiqua" w:hAnsi="Book Antiqua"/>
          <w:i/>
        </w:rPr>
        <w:t>“rethink of the entire design”</w:t>
      </w:r>
      <w:r>
        <w:rPr>
          <w:rFonts w:ascii="Book Antiqua" w:hAnsi="Book Antiqua"/>
        </w:rPr>
        <w:t xml:space="preserve"> of the Source Ammunition Bag based on the Q33A. Rather than starting with the Q33A and lengthening it, widening it, and increasing the width of the top aperture to reach dimensions very similar to the Source Ammunition Bag, I </w:t>
      </w:r>
      <w:r w:rsidR="0024110F">
        <w:rPr>
          <w:rFonts w:ascii="Book Antiqua" w:hAnsi="Book Antiqua"/>
        </w:rPr>
        <w:t>find</w:t>
      </w:r>
      <w:r>
        <w:rPr>
          <w:rFonts w:ascii="Book Antiqua" w:hAnsi="Book Antiqua"/>
        </w:rPr>
        <w:t xml:space="preserve"> it is more likely than not that the starting point was the Source Ammunition Bag, from which the zip was removed and the profile flattened. This latter point, I accept, may have been inspired by the similar profile of the Q33A</w:t>
      </w:r>
      <w:r w:rsidR="00AF2FF9">
        <w:rPr>
          <w:rFonts w:ascii="Book Antiqua" w:hAnsi="Book Antiqua"/>
        </w:rPr>
        <w:t xml:space="preserve"> which Mr Clee remembered from his early days in the Army in the 1980s</w:t>
      </w:r>
      <w:r>
        <w:rPr>
          <w:rFonts w:ascii="Book Antiqua" w:hAnsi="Book Antiqua"/>
        </w:rPr>
        <w:t xml:space="preserve">. I consider there is support </w:t>
      </w:r>
      <w:r w:rsidR="008A1949">
        <w:rPr>
          <w:rFonts w:ascii="Book Antiqua" w:hAnsi="Book Antiqua"/>
        </w:rPr>
        <w:t>for</w:t>
      </w:r>
      <w:r>
        <w:rPr>
          <w:rFonts w:ascii="Book Antiqua" w:hAnsi="Book Antiqua"/>
        </w:rPr>
        <w:t xml:space="preserve"> this finding in </w:t>
      </w:r>
      <w:r w:rsidR="003D5DB4">
        <w:rPr>
          <w:rFonts w:ascii="Book Antiqua" w:hAnsi="Book Antiqua"/>
        </w:rPr>
        <w:t xml:space="preserve">a number of places. First, </w:t>
      </w:r>
      <w:r>
        <w:rPr>
          <w:rFonts w:ascii="Book Antiqua" w:hAnsi="Book Antiqua"/>
        </w:rPr>
        <w:t>Mr Clee’s evidence that in order to obtain approval of the amended bag from the MoD</w:t>
      </w:r>
      <w:r w:rsidR="00AF2FF9">
        <w:rPr>
          <w:rFonts w:ascii="Book Antiqua" w:hAnsi="Book Antiqua"/>
        </w:rPr>
        <w:t xml:space="preserve"> for its substitution into Virtus</w:t>
      </w:r>
      <w:r>
        <w:rPr>
          <w:rFonts w:ascii="Book Antiqua" w:hAnsi="Book Antiqua"/>
        </w:rPr>
        <w:t xml:space="preserve">, it had to vary as little as possible from the </w:t>
      </w:r>
      <w:r w:rsidR="00AF2FF9">
        <w:rPr>
          <w:rFonts w:ascii="Book Antiqua" w:hAnsi="Book Antiqua"/>
        </w:rPr>
        <w:t xml:space="preserve">already approved Source Ammunition Bag. </w:t>
      </w:r>
      <w:r w:rsidR="003D5DB4">
        <w:rPr>
          <w:rFonts w:ascii="Book Antiqua" w:hAnsi="Book Antiqua"/>
        </w:rPr>
        <w:t xml:space="preserve">If that was the reason why Source didn’t use their previously developed 2013 ammunition bag, </w:t>
      </w:r>
      <w:r w:rsidR="002B28A3">
        <w:rPr>
          <w:rFonts w:ascii="Book Antiqua" w:hAnsi="Book Antiqua"/>
        </w:rPr>
        <w:t xml:space="preserve">as Mr Clee stated in oral evidence, </w:t>
      </w:r>
      <w:r w:rsidR="003D5DB4">
        <w:rPr>
          <w:rFonts w:ascii="Book Antiqua" w:hAnsi="Book Antiqua"/>
        </w:rPr>
        <w:t>I think it is inherently unlikely that</w:t>
      </w:r>
      <w:r w:rsidR="00AF2FF9">
        <w:rPr>
          <w:rFonts w:ascii="Book Antiqua" w:hAnsi="Book Antiqua"/>
        </w:rPr>
        <w:t xml:space="preserve"> Source </w:t>
      </w:r>
      <w:r w:rsidR="003D5DB4">
        <w:rPr>
          <w:rFonts w:ascii="Book Antiqua" w:hAnsi="Book Antiqua"/>
        </w:rPr>
        <w:t>would</w:t>
      </w:r>
      <w:r w:rsidR="00AF2FF9">
        <w:rPr>
          <w:rFonts w:ascii="Book Antiqua" w:hAnsi="Book Antiqua"/>
        </w:rPr>
        <w:t xml:space="preserve"> have</w:t>
      </w:r>
      <w:r w:rsidR="003D5DB4">
        <w:rPr>
          <w:rFonts w:ascii="Book Antiqua" w:hAnsi="Book Antiqua"/>
        </w:rPr>
        <w:t xml:space="preserve"> instead</w:t>
      </w:r>
      <w:r w:rsidR="00AF2FF9">
        <w:rPr>
          <w:rFonts w:ascii="Book Antiqua" w:hAnsi="Book Antiqua"/>
        </w:rPr>
        <w:t xml:space="preserve"> started from the completely differently proportioned Q33A which did not </w:t>
      </w:r>
      <w:r w:rsidR="003D5DB4">
        <w:rPr>
          <w:rFonts w:ascii="Book Antiqua" w:hAnsi="Book Antiqua"/>
        </w:rPr>
        <w:t xml:space="preserve">even </w:t>
      </w:r>
      <w:r w:rsidR="00AF2FF9">
        <w:rPr>
          <w:rFonts w:ascii="Book Antiqua" w:hAnsi="Book Antiqua"/>
        </w:rPr>
        <w:t>have the main functionality needed to meet SRD</w:t>
      </w:r>
      <w:r w:rsidR="003D5DB4">
        <w:rPr>
          <w:rFonts w:ascii="Book Antiqua" w:hAnsi="Book Antiqua"/>
        </w:rPr>
        <w:t xml:space="preserve"> 338</w:t>
      </w:r>
      <w:r w:rsidR="00AF2FF9">
        <w:rPr>
          <w:rFonts w:ascii="Book Antiqua" w:hAnsi="Book Antiqua"/>
        </w:rPr>
        <w:t>, namely to enable firing of the linked round without removing it from the bag</w:t>
      </w:r>
      <w:r w:rsidR="003D5DB4">
        <w:rPr>
          <w:rFonts w:ascii="Book Antiqua" w:hAnsi="Book Antiqua"/>
        </w:rPr>
        <w:t>. More likely, in my view, is that it</w:t>
      </w:r>
      <w:r w:rsidR="00ED37F5">
        <w:rPr>
          <w:rFonts w:ascii="Book Antiqua" w:hAnsi="Book Antiqua"/>
        </w:rPr>
        <w:t xml:space="preserve"> removed the zip and changed the profile of the Source Ammunition Bag. </w:t>
      </w:r>
      <w:r w:rsidR="002B28A3">
        <w:rPr>
          <w:rFonts w:ascii="Book Antiqua" w:hAnsi="Book Antiqua"/>
        </w:rPr>
        <w:t>Secondly,</w:t>
      </w:r>
      <w:r w:rsidR="00411006">
        <w:rPr>
          <w:rFonts w:ascii="Book Antiqua" w:hAnsi="Book Antiqua"/>
        </w:rPr>
        <w:t xml:space="preserve"> this finding is supported by the “Gainshare Proposal” submitted to the MoD by Source on 12 June 2017, in which Source described the modifications as follows: </w:t>
      </w:r>
    </w:p>
    <w:p w14:paraId="3E076637" w14:textId="3B632FF0" w:rsidR="00E83339" w:rsidRDefault="00411006" w:rsidP="009E4653">
      <w:pPr>
        <w:pStyle w:val="ParaLevel2"/>
        <w:numPr>
          <w:ilvl w:val="0"/>
          <w:numId w:val="0"/>
        </w:numPr>
        <w:ind w:left="1418"/>
        <w:rPr>
          <w:rFonts w:ascii="Book Antiqua" w:hAnsi="Book Antiqua"/>
        </w:rPr>
      </w:pPr>
      <w:r w:rsidRPr="00E83339">
        <w:rPr>
          <w:rFonts w:ascii="Book Antiqua" w:hAnsi="Book Antiqua"/>
        </w:rPr>
        <w:t>“The full-length closure of the pouch is removed and the cross section made rectangular rather than the current triangular”.</w:t>
      </w:r>
    </w:p>
    <w:p w14:paraId="0E2F052C" w14:textId="6CCEBEE6" w:rsidR="002B28A3" w:rsidRDefault="002B28A3" w:rsidP="009E4653">
      <w:pPr>
        <w:pStyle w:val="ParaLevel1"/>
        <w:rPr>
          <w:rFonts w:ascii="Book Antiqua" w:hAnsi="Book Antiqua"/>
        </w:rPr>
      </w:pPr>
      <w:r>
        <w:rPr>
          <w:rFonts w:ascii="Book Antiqua" w:hAnsi="Book Antiqua"/>
        </w:rPr>
        <w:t>Thirdly, Source trialled the 2017 Bag and supplied the results to the MoD in March 2017. The trial found that top loading was a more effective means of loading, being faster and simpler and removing the requirement for the full-length zip. However, the report identifies the ‘base-line’ as being the Link-Tail, and does not reference the Q33A.</w:t>
      </w:r>
    </w:p>
    <w:p w14:paraId="27C7B2CE" w14:textId="72F6C2D8" w:rsidR="0025492C" w:rsidRDefault="00050781" w:rsidP="009E4653">
      <w:pPr>
        <w:pStyle w:val="ParaLevel1"/>
        <w:rPr>
          <w:rFonts w:ascii="Book Antiqua" w:hAnsi="Book Antiqua"/>
        </w:rPr>
      </w:pPr>
      <w:r>
        <w:rPr>
          <w:rFonts w:ascii="Book Antiqua" w:hAnsi="Book Antiqua"/>
        </w:rPr>
        <w:t>Source added to the</w:t>
      </w:r>
      <w:r w:rsidR="00AF2FF9">
        <w:rPr>
          <w:rFonts w:ascii="Book Antiqua" w:hAnsi="Book Antiqua"/>
        </w:rPr>
        <w:t xml:space="preserve"> 2017 Bag </w:t>
      </w:r>
      <w:r>
        <w:rPr>
          <w:rFonts w:ascii="Book Antiqua" w:hAnsi="Book Antiqua"/>
        </w:rPr>
        <w:t xml:space="preserve">a marker patch similar to that recommended by Excel and used by it on the Link-Tails trialled in Afghanistan, but which </w:t>
      </w:r>
      <w:r w:rsidR="002B28A3">
        <w:rPr>
          <w:rFonts w:ascii="Book Antiqua" w:hAnsi="Book Antiqua"/>
        </w:rPr>
        <w:t xml:space="preserve">I have found </w:t>
      </w:r>
      <w:r>
        <w:rPr>
          <w:rFonts w:ascii="Book Antiqua" w:hAnsi="Book Antiqua"/>
        </w:rPr>
        <w:t>was not included by Source in the original Source Ammunition Bag</w:t>
      </w:r>
      <w:r w:rsidR="0024110F">
        <w:rPr>
          <w:rFonts w:ascii="Book Antiqua" w:hAnsi="Book Antiqua"/>
        </w:rPr>
        <w:t>. Excel say this is a ‘fingerprint’ that the 2017 Bag was developed from the Link-Tail. Source submit that it is a red herring. I think it is more likely to be a fingerprint, but I would have reached the finding above even without it</w:t>
      </w:r>
      <w:r w:rsidR="0025492C">
        <w:rPr>
          <w:rFonts w:ascii="Book Antiqua" w:hAnsi="Book Antiqua"/>
        </w:rPr>
        <w:t>s presence on the 2017 Bag</w:t>
      </w:r>
      <w:r w:rsidR="0024110F">
        <w:rPr>
          <w:rFonts w:ascii="Book Antiqua" w:hAnsi="Book Antiqua"/>
        </w:rPr>
        <w:t>.</w:t>
      </w:r>
      <w:r w:rsidR="002B28A3">
        <w:rPr>
          <w:rFonts w:ascii="Book Antiqua" w:hAnsi="Book Antiqua"/>
        </w:rPr>
        <w:t xml:space="preserve"> </w:t>
      </w:r>
    </w:p>
    <w:p w14:paraId="39033737" w14:textId="2B4F0CCE" w:rsidR="009832D8" w:rsidRDefault="00DA384B" w:rsidP="009E4653">
      <w:pPr>
        <w:pStyle w:val="ParaLevel1"/>
        <w:rPr>
          <w:rFonts w:ascii="Book Antiqua" w:hAnsi="Book Antiqua"/>
        </w:rPr>
      </w:pPr>
      <w:r>
        <w:rPr>
          <w:rFonts w:ascii="Book Antiqua" w:hAnsi="Book Antiqua"/>
        </w:rPr>
        <w:t>In June 2017 Source proposed to the MoD that future orders into Virtus supply the 2017 Bag instead of the Source Ammunition Bag</w:t>
      </w:r>
      <w:r w:rsidR="00411006">
        <w:rPr>
          <w:rFonts w:ascii="Book Antiqua" w:hAnsi="Book Antiqua"/>
        </w:rPr>
        <w:t xml:space="preserve">, by the Gainshare </w:t>
      </w:r>
      <w:r w:rsidR="00C53655">
        <w:rPr>
          <w:rFonts w:ascii="Book Antiqua" w:hAnsi="Book Antiqua"/>
        </w:rPr>
        <w:t>Proposal</w:t>
      </w:r>
      <w:r w:rsidR="00411006">
        <w:rPr>
          <w:rFonts w:ascii="Book Antiqua" w:hAnsi="Book Antiqua"/>
        </w:rPr>
        <w:t xml:space="preserve"> already referred to</w:t>
      </w:r>
      <w:r>
        <w:rPr>
          <w:rFonts w:ascii="Book Antiqua" w:hAnsi="Book Antiqua"/>
        </w:rPr>
        <w:t xml:space="preserve">. </w:t>
      </w:r>
      <w:r w:rsidR="00411006">
        <w:rPr>
          <w:rFonts w:ascii="Book Antiqua" w:hAnsi="Book Antiqua"/>
        </w:rPr>
        <w:t xml:space="preserve">The Gainshare </w:t>
      </w:r>
      <w:r w:rsidR="00C53655">
        <w:rPr>
          <w:rFonts w:ascii="Book Antiqua" w:hAnsi="Book Antiqua"/>
        </w:rPr>
        <w:t>Proposal</w:t>
      </w:r>
      <w:r w:rsidR="00411006">
        <w:rPr>
          <w:rFonts w:ascii="Book Antiqua" w:hAnsi="Book Antiqua"/>
        </w:rPr>
        <w:t xml:space="preserve"> stated there was </w:t>
      </w:r>
      <w:r w:rsidR="00411006" w:rsidRPr="00411006">
        <w:rPr>
          <w:rFonts w:ascii="Book Antiqua" w:hAnsi="Book Antiqua"/>
          <w:i/>
        </w:rPr>
        <w:t xml:space="preserve">“an obsolescence issue, as we can no longer supply the original </w:t>
      </w:r>
      <w:r w:rsidR="00C53655" w:rsidRPr="00411006">
        <w:rPr>
          <w:rFonts w:ascii="Book Antiqua" w:hAnsi="Book Antiqua"/>
          <w:i/>
        </w:rPr>
        <w:t>design”</w:t>
      </w:r>
      <w:r w:rsidR="00C53655">
        <w:rPr>
          <w:rFonts w:ascii="Book Antiqua" w:hAnsi="Book Antiqua"/>
        </w:rPr>
        <w:t>. The</w:t>
      </w:r>
      <w:r w:rsidR="00411006">
        <w:rPr>
          <w:rFonts w:ascii="Book Antiqua" w:hAnsi="Book Antiqua"/>
        </w:rPr>
        <w:t xml:space="preserve"> MoD asked for further details of the ‘obsolescence issue’ to which Source responded: </w:t>
      </w:r>
      <w:r w:rsidR="00411006" w:rsidRPr="00411006">
        <w:rPr>
          <w:rFonts w:ascii="Book Antiqua" w:hAnsi="Book Antiqua"/>
          <w:i/>
        </w:rPr>
        <w:t>“The obsolescence is due to the breach of our exclusive licence with Excel Eucan to manufacture and supply the UK market, by Excel Eucan. Hence we are no longer able to offer the existing design.</w:t>
      </w:r>
      <w:r w:rsidR="00050781">
        <w:rPr>
          <w:rFonts w:ascii="Book Antiqua" w:hAnsi="Book Antiqua"/>
          <w:i/>
        </w:rPr>
        <w:t xml:space="preserve">” </w:t>
      </w:r>
      <w:r w:rsidR="00050781" w:rsidRPr="00050781">
        <w:rPr>
          <w:rFonts w:ascii="Book Antiqua" w:hAnsi="Book Antiqua"/>
        </w:rPr>
        <w:t xml:space="preserve">Of course, Source now accepts this statement was not correct. The response continued: </w:t>
      </w:r>
      <w:r w:rsidR="00050781">
        <w:rPr>
          <w:rFonts w:ascii="Book Antiqua" w:hAnsi="Book Antiqua"/>
          <w:i/>
        </w:rPr>
        <w:t>“</w:t>
      </w:r>
      <w:r w:rsidR="00411006" w:rsidRPr="00411006">
        <w:rPr>
          <w:rFonts w:ascii="Book Antiqua" w:hAnsi="Book Antiqua"/>
          <w:i/>
        </w:rPr>
        <w:t>We can confirm that Source hold all rights and intellectual property in regard of the improved design…”.</w:t>
      </w:r>
      <w:r w:rsidR="00411006">
        <w:rPr>
          <w:rFonts w:ascii="Book Antiqua" w:hAnsi="Book Antiqua"/>
          <w:i/>
        </w:rPr>
        <w:t xml:space="preserve"> </w:t>
      </w:r>
      <w:r w:rsidR="00050781">
        <w:rPr>
          <w:rFonts w:ascii="Book Antiqua" w:hAnsi="Book Antiqua"/>
        </w:rPr>
        <w:t xml:space="preserve"> </w:t>
      </w:r>
      <w:r w:rsidR="00B70959">
        <w:rPr>
          <w:rFonts w:ascii="Book Antiqua" w:hAnsi="Book Antiqua"/>
        </w:rPr>
        <w:t xml:space="preserve">The </w:t>
      </w:r>
      <w:r>
        <w:rPr>
          <w:rFonts w:ascii="Book Antiqua" w:hAnsi="Book Antiqua"/>
        </w:rPr>
        <w:t>MoD</w:t>
      </w:r>
      <w:r w:rsidR="002B28A3">
        <w:rPr>
          <w:rFonts w:ascii="Book Antiqua" w:hAnsi="Book Antiqua"/>
        </w:rPr>
        <w:t xml:space="preserve"> carried out its own trial of the 2017 Bag through ITDU (which report neither party has seen), and</w:t>
      </w:r>
      <w:r>
        <w:rPr>
          <w:rFonts w:ascii="Book Antiqua" w:hAnsi="Book Antiqua"/>
        </w:rPr>
        <w:t xml:space="preserve"> approved </w:t>
      </w:r>
      <w:r w:rsidR="00411006">
        <w:rPr>
          <w:rFonts w:ascii="Book Antiqua" w:hAnsi="Book Antiqua"/>
        </w:rPr>
        <w:t>the substitution</w:t>
      </w:r>
      <w:r w:rsidR="009832D8">
        <w:rPr>
          <w:rFonts w:ascii="Book Antiqua" w:hAnsi="Book Antiqua"/>
        </w:rPr>
        <w:t>.</w:t>
      </w:r>
    </w:p>
    <w:p w14:paraId="6B5C1106" w14:textId="62215B55" w:rsidR="000643E5" w:rsidRDefault="009832D8" w:rsidP="009E4653">
      <w:pPr>
        <w:pStyle w:val="ParaLevel1"/>
        <w:rPr>
          <w:rFonts w:ascii="Book Antiqua" w:hAnsi="Book Antiqua"/>
        </w:rPr>
      </w:pPr>
      <w:r>
        <w:rPr>
          <w:rFonts w:ascii="Book Antiqua" w:hAnsi="Book Antiqua"/>
        </w:rPr>
        <w:t>In total, Source says it has supplied 28,827 Source Ammunition Bags to the MoD</w:t>
      </w:r>
      <w:r w:rsidR="007D685B">
        <w:rPr>
          <w:rFonts w:ascii="Book Antiqua" w:hAnsi="Book Antiqua"/>
        </w:rPr>
        <w:t>, and the MoD has confirmed these figures</w:t>
      </w:r>
      <w:r w:rsidR="00BB4296">
        <w:rPr>
          <w:rFonts w:ascii="Book Antiqua" w:hAnsi="Book Antiqua"/>
        </w:rPr>
        <w:t>, which are no longer disputed.</w:t>
      </w:r>
    </w:p>
    <w:p w14:paraId="4227D27C" w14:textId="78450BF9" w:rsidR="009832D8" w:rsidRDefault="009832D8" w:rsidP="009E4653">
      <w:pPr>
        <w:pStyle w:val="ParaLevel1"/>
        <w:rPr>
          <w:rFonts w:ascii="Book Antiqua" w:hAnsi="Book Antiqua"/>
        </w:rPr>
      </w:pPr>
      <w:r>
        <w:rPr>
          <w:rFonts w:ascii="Book Antiqua" w:hAnsi="Book Antiqua"/>
        </w:rPr>
        <w:t>Source’s evidence</w:t>
      </w:r>
      <w:r w:rsidR="0025492C">
        <w:rPr>
          <w:rFonts w:ascii="Book Antiqua" w:hAnsi="Book Antiqua"/>
        </w:rPr>
        <w:t>, which I do not understand to be disputed,</w:t>
      </w:r>
      <w:r>
        <w:rPr>
          <w:rFonts w:ascii="Book Antiqua" w:hAnsi="Book Antiqua"/>
        </w:rPr>
        <w:t xml:space="preserve"> is that it has not supplied any 2017 Bags to the MoD</w:t>
      </w:r>
      <w:r w:rsidR="0025492C">
        <w:rPr>
          <w:rFonts w:ascii="Book Antiqua" w:hAnsi="Book Antiqua"/>
        </w:rPr>
        <w:t>. It says this is</w:t>
      </w:r>
      <w:r>
        <w:rPr>
          <w:rFonts w:ascii="Book Antiqua" w:hAnsi="Book Antiqua"/>
        </w:rPr>
        <w:t xml:space="preserve"> because in June 2017 MoD informed it that </w:t>
      </w:r>
      <w:r w:rsidRPr="00411006">
        <w:rPr>
          <w:rFonts w:ascii="Book Antiqua" w:hAnsi="Book Antiqua"/>
          <w:i/>
        </w:rPr>
        <w:t>“Army HQ have requested future contracted deliveries (9000 [units]) for this year are removed from the order and therefor the price reduced accordingly… This is due to low usage rates as the ratio of the 1:1 [i.e. one link ammunition pouch per ISS system supplied] for all orders to date was excessive”</w:t>
      </w:r>
      <w:r>
        <w:rPr>
          <w:rFonts w:ascii="Book Antiqua" w:hAnsi="Book Antiqua"/>
        </w:rPr>
        <w:t>.</w:t>
      </w:r>
      <w:r w:rsidR="0025492C">
        <w:rPr>
          <w:rFonts w:ascii="Book Antiqua" w:hAnsi="Book Antiqua"/>
        </w:rPr>
        <w:t xml:space="preserve"> I have seen this email which is in the trial bundle.</w:t>
      </w:r>
    </w:p>
    <w:p w14:paraId="20696ED4" w14:textId="7FA0894F" w:rsidR="007D685B" w:rsidRDefault="007D685B" w:rsidP="009E4653">
      <w:pPr>
        <w:pStyle w:val="ParaLevel1"/>
        <w:rPr>
          <w:rFonts w:ascii="Book Antiqua" w:hAnsi="Book Antiqua"/>
          <w:szCs w:val="24"/>
        </w:rPr>
      </w:pPr>
      <w:r>
        <w:rPr>
          <w:rFonts w:ascii="Book Antiqua" w:hAnsi="Book Antiqua"/>
          <w:szCs w:val="24"/>
        </w:rPr>
        <w:t>Excel submits that Source’s purported termination of the Licence Agreement and the ensuing litigation has discouraged the MoD from placing orders which it otherwise would have placed</w:t>
      </w:r>
      <w:r w:rsidR="0025492C">
        <w:rPr>
          <w:rFonts w:ascii="Book Antiqua" w:hAnsi="Book Antiqua"/>
          <w:szCs w:val="24"/>
        </w:rPr>
        <w:t>, based on the anticipated figures for supply of complete ISS systems and the expected ratio of one ammunition bag per ISS system</w:t>
      </w:r>
      <w:r>
        <w:rPr>
          <w:rFonts w:ascii="Book Antiqua" w:hAnsi="Book Antiqua"/>
          <w:szCs w:val="24"/>
        </w:rPr>
        <w:t>. In correspondence</w:t>
      </w:r>
      <w:r w:rsidR="0025492C">
        <w:rPr>
          <w:rFonts w:ascii="Book Antiqua" w:hAnsi="Book Antiqua"/>
          <w:szCs w:val="24"/>
        </w:rPr>
        <w:t>,</w:t>
      </w:r>
      <w:r>
        <w:rPr>
          <w:rFonts w:ascii="Book Antiqua" w:hAnsi="Book Antiqua"/>
          <w:szCs w:val="24"/>
        </w:rPr>
        <w:t xml:space="preserve"> it avers</w:t>
      </w:r>
      <w:r w:rsidRPr="004E4123">
        <w:rPr>
          <w:rFonts w:ascii="Book Antiqua" w:hAnsi="Book Antiqua"/>
          <w:szCs w:val="24"/>
        </w:rPr>
        <w:t xml:space="preserve"> </w:t>
      </w:r>
      <w:r>
        <w:rPr>
          <w:rFonts w:ascii="Book Antiqua" w:hAnsi="Book Antiqua"/>
          <w:szCs w:val="24"/>
        </w:rPr>
        <w:t>that Excel would have obtained a royalty</w:t>
      </w:r>
      <w:r w:rsidRPr="008734CD">
        <w:rPr>
          <w:rFonts w:ascii="Book Antiqua" w:hAnsi="Book Antiqua"/>
          <w:szCs w:val="24"/>
        </w:rPr>
        <w:t xml:space="preserve"> </w:t>
      </w:r>
      <w:r>
        <w:rPr>
          <w:rFonts w:ascii="Book Antiqua" w:hAnsi="Book Antiqua"/>
          <w:szCs w:val="24"/>
        </w:rPr>
        <w:t>of about £36,000 on such orders</w:t>
      </w:r>
      <w:r w:rsidR="0025492C">
        <w:rPr>
          <w:rFonts w:ascii="Book Antiqua" w:hAnsi="Book Antiqua"/>
          <w:szCs w:val="24"/>
        </w:rPr>
        <w:t xml:space="preserve"> although this figure is not particularised in the pleadings</w:t>
      </w:r>
      <w:r>
        <w:rPr>
          <w:rFonts w:ascii="Book Antiqua" w:hAnsi="Book Antiqua"/>
          <w:szCs w:val="24"/>
        </w:rPr>
        <w:t xml:space="preserve">. I do not accept this submission. </w:t>
      </w:r>
      <w:r w:rsidR="00BB4296">
        <w:rPr>
          <w:rFonts w:ascii="Book Antiqua" w:hAnsi="Book Antiqua"/>
          <w:szCs w:val="24"/>
        </w:rPr>
        <w:t>I note</w:t>
      </w:r>
      <w:r>
        <w:rPr>
          <w:rFonts w:ascii="Book Antiqua" w:hAnsi="Book Antiqua"/>
          <w:szCs w:val="24"/>
        </w:rPr>
        <w:t xml:space="preserve"> that the MoD has the benefit of an indemnity from Source in relation to, inter alia, IP infringement </w:t>
      </w:r>
      <w:r w:rsidR="00BB4296">
        <w:rPr>
          <w:rFonts w:ascii="Book Antiqua" w:hAnsi="Book Antiqua"/>
          <w:szCs w:val="24"/>
        </w:rPr>
        <w:t>of the supplied ammunition bags.</w:t>
      </w:r>
      <w:r>
        <w:rPr>
          <w:rFonts w:ascii="Book Antiqua" w:hAnsi="Book Antiqua"/>
          <w:szCs w:val="24"/>
        </w:rPr>
        <w:t xml:space="preserve"> I find it more likely than not that the MoD’s offered explanation is the true reason for the reduced number of orders</w:t>
      </w:r>
      <w:r w:rsidR="00BB4296">
        <w:rPr>
          <w:rFonts w:ascii="Book Antiqua" w:hAnsi="Book Antiqua"/>
          <w:szCs w:val="24"/>
        </w:rPr>
        <w:t xml:space="preserve"> to that anticipated</w:t>
      </w:r>
      <w:r>
        <w:rPr>
          <w:rFonts w:ascii="Book Antiqua" w:hAnsi="Book Antiqua"/>
          <w:szCs w:val="24"/>
        </w:rPr>
        <w:t xml:space="preserve">. </w:t>
      </w:r>
    </w:p>
    <w:p w14:paraId="61FC2021" w14:textId="6B20A908" w:rsidR="007D685B" w:rsidRPr="007D685B" w:rsidRDefault="007D685B" w:rsidP="009E4653">
      <w:pPr>
        <w:pStyle w:val="ParaLevel1"/>
        <w:rPr>
          <w:rFonts w:ascii="Book Antiqua" w:hAnsi="Book Antiqua"/>
        </w:rPr>
      </w:pPr>
      <w:r>
        <w:rPr>
          <w:rFonts w:ascii="Book Antiqua" w:hAnsi="Book Antiqua"/>
        </w:rPr>
        <w:t xml:space="preserve">The MoD has since confirmed in writing that if it places further orders in Virtus for link ammunition pouches, they will be for the 2017 Bag. </w:t>
      </w:r>
    </w:p>
    <w:p w14:paraId="0A2161A2" w14:textId="78641AB9" w:rsidR="00D2696F" w:rsidRPr="00B35D4D" w:rsidRDefault="00860EB4" w:rsidP="009E4653">
      <w:pPr>
        <w:pStyle w:val="ParaLevel1"/>
        <w:numPr>
          <w:ilvl w:val="0"/>
          <w:numId w:val="0"/>
        </w:numPr>
        <w:rPr>
          <w:rFonts w:ascii="Book Antiqua" w:hAnsi="Book Antiqua"/>
          <w:b/>
        </w:rPr>
      </w:pPr>
      <w:r w:rsidRPr="00DA04EE">
        <w:rPr>
          <w:rFonts w:ascii="Book Antiqua" w:hAnsi="Book Antiqua"/>
          <w:b/>
        </w:rPr>
        <w:t>DETERMINATION</w:t>
      </w:r>
      <w:r w:rsidR="006709F8" w:rsidRPr="00DA04EE">
        <w:rPr>
          <w:rFonts w:ascii="Book Antiqua" w:hAnsi="Book Antiqua"/>
          <w:b/>
        </w:rPr>
        <w:t xml:space="preserve"> OF ISSUES</w:t>
      </w:r>
    </w:p>
    <w:p w14:paraId="6ACFBC3E" w14:textId="67DF93AF" w:rsidR="002C4CEF" w:rsidRPr="00DA04EE" w:rsidRDefault="00B35D4D" w:rsidP="009E4653">
      <w:pPr>
        <w:pStyle w:val="ParaLevel1"/>
        <w:numPr>
          <w:ilvl w:val="0"/>
          <w:numId w:val="0"/>
        </w:numPr>
        <w:ind w:left="862" w:hanging="720"/>
        <w:rPr>
          <w:rFonts w:ascii="Book Antiqua" w:hAnsi="Book Antiqua"/>
          <w:b/>
          <w:i/>
        </w:rPr>
      </w:pPr>
      <w:r>
        <w:rPr>
          <w:rFonts w:ascii="Book Antiqua" w:hAnsi="Book Antiqua"/>
          <w:b/>
          <w:i/>
        </w:rPr>
        <w:t>Issue (</w:t>
      </w:r>
      <w:r w:rsidR="002C4CEF" w:rsidRPr="00DA04EE">
        <w:rPr>
          <w:rFonts w:ascii="Book Antiqua" w:hAnsi="Book Antiqua"/>
          <w:b/>
          <w:i/>
        </w:rPr>
        <w:t>i) – Is Source entitled to a declaration that the 2017 Bag does not infringe GB’116</w:t>
      </w:r>
      <w:r w:rsidR="002C557B">
        <w:rPr>
          <w:rFonts w:ascii="Book Antiqua" w:hAnsi="Book Antiqua"/>
          <w:b/>
          <w:i/>
        </w:rPr>
        <w:t>, as amended</w:t>
      </w:r>
      <w:r w:rsidR="002C4CEF" w:rsidRPr="00DA04EE">
        <w:rPr>
          <w:rFonts w:ascii="Book Antiqua" w:hAnsi="Book Antiqua"/>
          <w:b/>
          <w:i/>
        </w:rPr>
        <w:t>?</w:t>
      </w:r>
    </w:p>
    <w:p w14:paraId="3E7599E0" w14:textId="31FCDC24" w:rsidR="002C4CEF" w:rsidRPr="00DA04EE" w:rsidRDefault="007E6A3C" w:rsidP="009E4653">
      <w:pPr>
        <w:pStyle w:val="ParaLevel1"/>
        <w:rPr>
          <w:rFonts w:ascii="Book Antiqua" w:hAnsi="Book Antiqua"/>
        </w:rPr>
      </w:pPr>
      <w:r>
        <w:rPr>
          <w:rFonts w:ascii="Book Antiqua" w:hAnsi="Book Antiqua"/>
        </w:rPr>
        <w:t xml:space="preserve">Claim 1 of </w:t>
      </w:r>
      <w:r w:rsidR="002C4CEF" w:rsidRPr="00DA04EE">
        <w:rPr>
          <w:rFonts w:ascii="Book Antiqua" w:hAnsi="Book Antiqua"/>
        </w:rPr>
        <w:t>GB’116 in its amended form</w:t>
      </w:r>
      <w:r>
        <w:rPr>
          <w:rFonts w:ascii="Book Antiqua" w:hAnsi="Book Antiqua"/>
        </w:rPr>
        <w:t>, claims</w:t>
      </w:r>
      <w:r w:rsidR="002C4CEF" w:rsidRPr="00DA04EE">
        <w:rPr>
          <w:rFonts w:ascii="Book Antiqua" w:hAnsi="Book Antiqua"/>
        </w:rPr>
        <w:t>:</w:t>
      </w:r>
    </w:p>
    <w:p w14:paraId="409CE9E3" w14:textId="592BCA1B" w:rsidR="002C4CEF" w:rsidRPr="00DA04EE" w:rsidRDefault="002C4CEF" w:rsidP="009E4653">
      <w:pPr>
        <w:pStyle w:val="ParaLevel2"/>
        <w:numPr>
          <w:ilvl w:val="0"/>
          <w:numId w:val="0"/>
        </w:numPr>
        <w:ind w:left="1418"/>
        <w:rPr>
          <w:rFonts w:ascii="Book Antiqua" w:hAnsi="Book Antiqua"/>
        </w:rPr>
      </w:pPr>
      <w:r w:rsidRPr="00DA04EE">
        <w:rPr>
          <w:rFonts w:ascii="Book Antiqua" w:hAnsi="Book Antiqua"/>
        </w:rPr>
        <w:t>“A linked round carrying bag consisting of a flexible sleeve within which is carried a linked round, the flexible sleeve being sealed at a first end, having an opening at a second end that extends across the width of the carrying bag, and having an openable closure extending substantially from the first end to the second end, wherein a width of the sleeve is greater than 12% of the length of an individual round of the linked round but is less than 150% the length of an individual round, and wherein when in use the end of the linked round can be fed into a firearm and the linked round is pulled out of the sleeve through the opening such that the firearm can be used without the need to further remove the linked round from the sleeve.” (“</w:t>
      </w:r>
      <w:r w:rsidRPr="00DA04EE">
        <w:rPr>
          <w:rFonts w:ascii="Book Antiqua" w:hAnsi="Book Antiqua"/>
          <w:b/>
        </w:rPr>
        <w:t>Claim 1</w:t>
      </w:r>
      <w:r w:rsidRPr="00DA04EE">
        <w:rPr>
          <w:rFonts w:ascii="Book Antiqua" w:hAnsi="Book Antiqua"/>
        </w:rPr>
        <w:t>”)</w:t>
      </w:r>
    </w:p>
    <w:p w14:paraId="7E47F98B" w14:textId="77777777" w:rsidR="00301DB8" w:rsidRDefault="00301DB8" w:rsidP="009E4653">
      <w:pPr>
        <w:pStyle w:val="ParaLevel1"/>
        <w:rPr>
          <w:rFonts w:ascii="Book Antiqua" w:hAnsi="Book Antiqua"/>
        </w:rPr>
      </w:pPr>
      <w:r>
        <w:rPr>
          <w:rFonts w:ascii="Book Antiqua" w:hAnsi="Book Antiqua"/>
        </w:rPr>
        <w:t xml:space="preserve">All of the remaining claims are either dependent on claim 1 or do not raise any different issues. </w:t>
      </w:r>
    </w:p>
    <w:p w14:paraId="107AA3C2" w14:textId="4593218F" w:rsidR="00301DB8" w:rsidRDefault="00301DB8" w:rsidP="009E4653">
      <w:pPr>
        <w:pStyle w:val="ParaLevel1"/>
        <w:rPr>
          <w:rFonts w:ascii="Book Antiqua" w:hAnsi="Book Antiqua"/>
        </w:rPr>
      </w:pPr>
      <w:r>
        <w:rPr>
          <w:rFonts w:ascii="Book Antiqua" w:hAnsi="Book Antiqua"/>
        </w:rPr>
        <w:t xml:space="preserve">Source’s case is that the zipless 2017 Bag does not have </w:t>
      </w:r>
      <w:r w:rsidRPr="00301DB8">
        <w:rPr>
          <w:rFonts w:ascii="Book Antiqua" w:hAnsi="Book Antiqua"/>
          <w:i/>
        </w:rPr>
        <w:t>“an openable closure extending substantially from the first end to the second end”</w:t>
      </w:r>
      <w:r>
        <w:rPr>
          <w:rFonts w:ascii="Book Antiqua" w:hAnsi="Book Antiqua"/>
        </w:rPr>
        <w:t xml:space="preserve"> and so the 2017 Bag does not fall within </w:t>
      </w:r>
      <w:r w:rsidR="009537B9">
        <w:rPr>
          <w:rFonts w:ascii="Book Antiqua" w:hAnsi="Book Antiqua"/>
        </w:rPr>
        <w:t>Claim 1</w:t>
      </w:r>
      <w:r w:rsidR="00407E6E">
        <w:rPr>
          <w:rFonts w:ascii="Book Antiqua" w:hAnsi="Book Antiqua"/>
        </w:rPr>
        <w:t>,</w:t>
      </w:r>
      <w:r>
        <w:rPr>
          <w:rFonts w:ascii="Book Antiqua" w:hAnsi="Book Antiqua"/>
        </w:rPr>
        <w:t xml:space="preserve"> on a literal reading of the claim. I</w:t>
      </w:r>
      <w:r w:rsidR="00B70959">
        <w:rPr>
          <w:rFonts w:ascii="Book Antiqua" w:hAnsi="Book Antiqua"/>
        </w:rPr>
        <w:t>t further claims that the 2017 B</w:t>
      </w:r>
      <w:r>
        <w:rPr>
          <w:rFonts w:ascii="Book Antiqua" w:hAnsi="Book Antiqua"/>
        </w:rPr>
        <w:t>ag was developed in response to the entirely independent discovery of an improved means of loading an ammunition bag by dangling the bag vertically and feeding the linked round into the opening at the top under gravity,</w:t>
      </w:r>
      <w:r w:rsidR="006151A6">
        <w:rPr>
          <w:rFonts w:ascii="Book Antiqua" w:hAnsi="Book Antiqua"/>
        </w:rPr>
        <w:t xml:space="preserve"> which method has never been part of the operation of the Link-Tail or the rationale for </w:t>
      </w:r>
      <w:r w:rsidR="009537B9">
        <w:rPr>
          <w:rFonts w:ascii="Book Antiqua" w:hAnsi="Book Antiqua"/>
        </w:rPr>
        <w:t>its design. It</w:t>
      </w:r>
      <w:r w:rsidR="00407E6E">
        <w:rPr>
          <w:rFonts w:ascii="Book Antiqua" w:hAnsi="Book Antiqua"/>
        </w:rPr>
        <w:t>s case is that t</w:t>
      </w:r>
      <w:r w:rsidR="006151A6">
        <w:rPr>
          <w:rFonts w:ascii="Book Antiqua" w:hAnsi="Book Antiqua"/>
        </w:rPr>
        <w:t>he need to open up the Link-Tail to facilitate correct loading is one reason why the patented invention expressly claims the openable closure.</w:t>
      </w:r>
    </w:p>
    <w:p w14:paraId="58540FA3" w14:textId="291042CD" w:rsidR="002C4CEF" w:rsidRPr="00DA04EE" w:rsidRDefault="002C4CEF" w:rsidP="009E4653">
      <w:pPr>
        <w:pStyle w:val="ParaLevel1"/>
        <w:rPr>
          <w:rFonts w:ascii="Book Antiqua" w:hAnsi="Book Antiqua"/>
        </w:rPr>
      </w:pPr>
      <w:r w:rsidRPr="00DA04EE">
        <w:rPr>
          <w:rFonts w:ascii="Book Antiqua" w:hAnsi="Book Antiqua"/>
        </w:rPr>
        <w:t xml:space="preserve">Excel accepts that the 2017 Bag does not fall within Claim 1 </w:t>
      </w:r>
      <w:r w:rsidR="006151A6">
        <w:rPr>
          <w:rFonts w:ascii="Book Antiqua" w:hAnsi="Book Antiqua"/>
        </w:rPr>
        <w:t>(</w:t>
      </w:r>
      <w:r w:rsidR="00407E6E">
        <w:rPr>
          <w:rFonts w:ascii="Book Antiqua" w:hAnsi="Book Antiqua"/>
        </w:rPr>
        <w:t xml:space="preserve">as </w:t>
      </w:r>
      <w:r w:rsidR="006151A6">
        <w:rPr>
          <w:rFonts w:ascii="Book Antiqua" w:hAnsi="Book Antiqua"/>
        </w:rPr>
        <w:t xml:space="preserve">amended or unamended) </w:t>
      </w:r>
      <w:r w:rsidRPr="00DA04EE">
        <w:rPr>
          <w:rFonts w:ascii="Book Antiqua" w:hAnsi="Book Antiqua"/>
        </w:rPr>
        <w:t xml:space="preserve">as a matter of normal interpretation, but submits that Source is not entitled to the </w:t>
      </w:r>
      <w:r w:rsidR="006151A6">
        <w:rPr>
          <w:rFonts w:ascii="Book Antiqua" w:hAnsi="Book Antiqua"/>
        </w:rPr>
        <w:t>declaration of non-infringement</w:t>
      </w:r>
      <w:r w:rsidRPr="00DA04EE">
        <w:rPr>
          <w:rFonts w:ascii="Book Antiqua" w:hAnsi="Book Antiqua"/>
        </w:rPr>
        <w:t xml:space="preserve"> it seeks because the 2017 Bag nevertheless constitutes an immaterial variation of</w:t>
      </w:r>
      <w:r w:rsidR="006151A6">
        <w:rPr>
          <w:rFonts w:ascii="Book Antiqua" w:hAnsi="Book Antiqua"/>
        </w:rPr>
        <w:t>, or is equivalent to,</w:t>
      </w:r>
      <w:r w:rsidRPr="00DA04EE">
        <w:rPr>
          <w:rFonts w:ascii="Book Antiqua" w:hAnsi="Book Antiqua"/>
        </w:rPr>
        <w:t xml:space="preserve"> the invention disclosed by GB’116. Accordingly the doctrine of equivalents is engaged. </w:t>
      </w:r>
    </w:p>
    <w:p w14:paraId="2BE8D840" w14:textId="77777777" w:rsidR="002C4CEF" w:rsidRPr="00DA04EE" w:rsidRDefault="002C4CEF" w:rsidP="009E4653">
      <w:pPr>
        <w:pStyle w:val="ParaLevel1"/>
        <w:numPr>
          <w:ilvl w:val="0"/>
          <w:numId w:val="0"/>
        </w:numPr>
        <w:ind w:left="142"/>
        <w:rPr>
          <w:rFonts w:ascii="Book Antiqua" w:hAnsi="Book Antiqua"/>
          <w:i/>
        </w:rPr>
      </w:pPr>
      <w:r w:rsidRPr="00DA04EE">
        <w:rPr>
          <w:rFonts w:ascii="Book Antiqua" w:hAnsi="Book Antiqua"/>
          <w:i/>
        </w:rPr>
        <w:t>The law</w:t>
      </w:r>
    </w:p>
    <w:p w14:paraId="1EBCE8A4" w14:textId="3E7464F2" w:rsidR="002C4CEF" w:rsidRPr="00DA04EE" w:rsidRDefault="002C4CEF" w:rsidP="009E4653">
      <w:pPr>
        <w:pStyle w:val="ParaLevel1"/>
        <w:tabs>
          <w:tab w:val="left" w:pos="3828"/>
        </w:tabs>
        <w:rPr>
          <w:rFonts w:ascii="Book Antiqua" w:hAnsi="Book Antiqua"/>
        </w:rPr>
      </w:pPr>
      <w:r w:rsidRPr="00DA04EE">
        <w:rPr>
          <w:rFonts w:ascii="Book Antiqua" w:hAnsi="Book Antiqua"/>
        </w:rPr>
        <w:t xml:space="preserve">It is common ground that </w:t>
      </w:r>
      <w:r w:rsidR="009D1DF1">
        <w:rPr>
          <w:rFonts w:ascii="Book Antiqua" w:hAnsi="Book Antiqua"/>
        </w:rPr>
        <w:t xml:space="preserve">as Source seeks a declaration of non-infringement, it has </w:t>
      </w:r>
      <w:r w:rsidRPr="00DA04EE">
        <w:rPr>
          <w:rFonts w:ascii="Book Antiqua" w:hAnsi="Book Antiqua"/>
        </w:rPr>
        <w:t xml:space="preserve">the burden of proving </w:t>
      </w:r>
      <w:r w:rsidR="009D1DF1">
        <w:rPr>
          <w:rFonts w:ascii="Book Antiqua" w:hAnsi="Book Antiqua"/>
        </w:rPr>
        <w:t>it</w:t>
      </w:r>
      <w:r w:rsidRPr="00DA04EE">
        <w:rPr>
          <w:rFonts w:ascii="Book Antiqua" w:hAnsi="Book Antiqua"/>
        </w:rPr>
        <w:t xml:space="preserve"> to the civil standard (per Mann J in </w:t>
      </w:r>
      <w:r w:rsidRPr="00DA04EE">
        <w:rPr>
          <w:rFonts w:ascii="Book Antiqua" w:hAnsi="Book Antiqua"/>
          <w:i/>
        </w:rPr>
        <w:t>Baxter v Abbott</w:t>
      </w:r>
      <w:r w:rsidRPr="00DA04EE">
        <w:rPr>
          <w:rFonts w:ascii="Book Antiqua" w:hAnsi="Book Antiqua"/>
        </w:rPr>
        <w:t xml:space="preserve"> [2005] EWHC 2878 (Pat)) even in a case such as this where the patent holder has provided particulars of its positive case on infringement. </w:t>
      </w:r>
    </w:p>
    <w:p w14:paraId="50B3F2BE" w14:textId="4BFED8F8" w:rsidR="009964AC" w:rsidRDefault="002C4CEF" w:rsidP="009E4653">
      <w:pPr>
        <w:pStyle w:val="ParaLevel1"/>
      </w:pPr>
      <w:r w:rsidRPr="00DA04EE">
        <w:rPr>
          <w:rFonts w:ascii="Book Antiqua" w:hAnsi="Book Antiqua"/>
        </w:rPr>
        <w:t>The leading case in relation to equivalents in the UK</w:t>
      </w:r>
      <w:r w:rsidR="006151A6">
        <w:rPr>
          <w:rFonts w:ascii="Book Antiqua" w:hAnsi="Book Antiqua"/>
        </w:rPr>
        <w:t>, and which re-stated and clarified the law as it was previously understood,</w:t>
      </w:r>
      <w:r w:rsidRPr="00DA04EE">
        <w:rPr>
          <w:rFonts w:ascii="Book Antiqua" w:hAnsi="Book Antiqua"/>
        </w:rPr>
        <w:t xml:space="preserve"> is the Supreme Court decision in </w:t>
      </w:r>
      <w:r w:rsidRPr="00DA04EE">
        <w:rPr>
          <w:rFonts w:ascii="Book Antiqua" w:hAnsi="Book Antiqua"/>
          <w:i/>
        </w:rPr>
        <w:t>Actavis UK Ltd v Eli Lilly &amp; Co</w:t>
      </w:r>
      <w:r w:rsidRPr="00DA04EE">
        <w:rPr>
          <w:rFonts w:ascii="Book Antiqua" w:hAnsi="Book Antiqua"/>
        </w:rPr>
        <w:t xml:space="preserve"> [2017] UKSC 48, [2017] RPC 21. Lord Neuberger set out guidance on the proper approach to infringement claims </w:t>
      </w:r>
      <w:r w:rsidR="006151A6">
        <w:rPr>
          <w:rFonts w:ascii="Book Antiqua" w:hAnsi="Book Antiqua"/>
        </w:rPr>
        <w:t>which was intended to be consistent with the Protocol to Art. 69 of the European Patent Convention</w:t>
      </w:r>
      <w:r w:rsidR="009964AC">
        <w:rPr>
          <w:rFonts w:ascii="Book Antiqua" w:hAnsi="Book Antiqua"/>
        </w:rPr>
        <w:t xml:space="preserve"> (“the </w:t>
      </w:r>
      <w:r w:rsidR="009964AC" w:rsidRPr="00B70959">
        <w:rPr>
          <w:rFonts w:ascii="Book Antiqua" w:hAnsi="Book Antiqua"/>
          <w:b/>
        </w:rPr>
        <w:t>Protocol</w:t>
      </w:r>
      <w:r w:rsidR="009964AC">
        <w:rPr>
          <w:rFonts w:ascii="Book Antiqua" w:hAnsi="Book Antiqua"/>
        </w:rPr>
        <w:t>”)</w:t>
      </w:r>
      <w:r w:rsidR="006151A6">
        <w:rPr>
          <w:rFonts w:ascii="Book Antiqua" w:hAnsi="Book Antiqua"/>
        </w:rPr>
        <w:t xml:space="preserve">, </w:t>
      </w:r>
      <w:r w:rsidR="009964AC">
        <w:rPr>
          <w:rFonts w:ascii="Book Antiqua" w:hAnsi="Book Antiqua"/>
        </w:rPr>
        <w:t>in particular</w:t>
      </w:r>
      <w:r w:rsidR="006151A6">
        <w:rPr>
          <w:rFonts w:ascii="Book Antiqua" w:hAnsi="Book Antiqua"/>
        </w:rPr>
        <w:t xml:space="preserve"> Art. (2)</w:t>
      </w:r>
      <w:r w:rsidR="009964AC">
        <w:rPr>
          <w:rFonts w:ascii="Book Antiqua" w:hAnsi="Book Antiqua"/>
        </w:rPr>
        <w:t xml:space="preserve"> of the Protocol</w:t>
      </w:r>
      <w:r w:rsidR="00133F3B">
        <w:rPr>
          <w:rFonts w:ascii="Book Antiqua" w:hAnsi="Book Antiqua"/>
        </w:rPr>
        <w:t xml:space="preserve"> which requires that </w:t>
      </w:r>
      <w:r w:rsidR="00133F3B" w:rsidRPr="00133F3B">
        <w:rPr>
          <w:rFonts w:ascii="Book Antiqua" w:hAnsi="Book Antiqua"/>
          <w:i/>
        </w:rPr>
        <w:t>“for the purpose of determining the extent of protection conferred by a European patent, due account shall be taken of any element which is equivalent to an element specified in the claims”</w:t>
      </w:r>
      <w:r w:rsidR="009964AC">
        <w:rPr>
          <w:rFonts w:ascii="Book Antiqua" w:hAnsi="Book Antiqua"/>
        </w:rPr>
        <w:t xml:space="preserve">. </w:t>
      </w:r>
    </w:p>
    <w:p w14:paraId="5035A9CD" w14:textId="740B99B5" w:rsidR="002C4CEF" w:rsidRPr="00DA04EE" w:rsidRDefault="009964AC" w:rsidP="009E4653">
      <w:pPr>
        <w:pStyle w:val="ParaLevel1"/>
        <w:rPr>
          <w:rFonts w:ascii="Book Antiqua" w:hAnsi="Book Antiqua"/>
        </w:rPr>
      </w:pPr>
      <w:r>
        <w:rPr>
          <w:rFonts w:ascii="Book Antiqua" w:hAnsi="Book Antiqua"/>
        </w:rPr>
        <w:t xml:space="preserve">As Lord Neuberger explained </w:t>
      </w:r>
      <w:r w:rsidR="002C4CEF" w:rsidRPr="00DA04EE">
        <w:rPr>
          <w:rFonts w:ascii="Book Antiqua" w:hAnsi="Book Antiqua"/>
        </w:rPr>
        <w:t>at [53] and [54]:</w:t>
      </w:r>
    </w:p>
    <w:p w14:paraId="35C00F97" w14:textId="77777777" w:rsidR="002C4CEF" w:rsidRPr="009D1DF1" w:rsidRDefault="002C4CEF" w:rsidP="009E4653">
      <w:pPr>
        <w:pStyle w:val="Normaalweb"/>
        <w:ind w:left="1134"/>
        <w:jc w:val="both"/>
        <w:rPr>
          <w:rFonts w:ascii="Book Antiqua" w:hAnsi="Book Antiqua"/>
          <w:sz w:val="24"/>
          <w:szCs w:val="24"/>
        </w:rPr>
      </w:pPr>
      <w:r w:rsidRPr="009D1DF1">
        <w:rPr>
          <w:rFonts w:ascii="Book Antiqua" w:hAnsi="Book Antiqua"/>
          <w:sz w:val="24"/>
          <w:szCs w:val="24"/>
        </w:rPr>
        <w:t xml:space="preserve">“53. Any patent system must strike a balance between the two competing factors referred to at the end of article 1 of the Protocol, namely “a fair protection for the patent proprietor [and] a reasonable degree of legal certainty for third parties”. The balance cannot be struck on an </w:t>
      </w:r>
      <w:r w:rsidRPr="009D1DF1">
        <w:rPr>
          <w:rFonts w:ascii="Book Antiqua" w:hAnsi="Book Antiqua"/>
          <w:i/>
          <w:iCs/>
          <w:sz w:val="24"/>
          <w:szCs w:val="24"/>
        </w:rPr>
        <w:t xml:space="preserve">ad hoc </w:t>
      </w:r>
      <w:r w:rsidRPr="009D1DF1">
        <w:rPr>
          <w:rFonts w:ascii="Book Antiqua" w:hAnsi="Book Antiqua"/>
          <w:sz w:val="24"/>
          <w:szCs w:val="24"/>
        </w:rPr>
        <w:t xml:space="preserve">case-by-case basis without any guiding principles, as that would mean that there was no legal certainty. On the other hand, striking the balance by adopting a normal approach to interpretation would risk depriving patentees of a proper measure of protection; as explained in paras 37 to 39 and 52 above, that is clear from the approach of all the courts which considered the “Epilady” patent, where it could not seriously have been suggested that, as a matter of language, a slotted rubber rod falls within the expression “helical metal spring”, even if one was construing those words in the context of the claim in the patent in suit. But, if one departs from ordinary language, it is necessary to have some guidance or to draw some lines, as Lord Hoffmann implied in </w:t>
      </w:r>
      <w:r w:rsidRPr="009D1DF1">
        <w:rPr>
          <w:rFonts w:ascii="Book Antiqua" w:hAnsi="Book Antiqua"/>
          <w:i/>
          <w:iCs/>
          <w:sz w:val="24"/>
          <w:szCs w:val="24"/>
        </w:rPr>
        <w:t xml:space="preserve">Kirin-Amgen </w:t>
      </w:r>
      <w:r w:rsidRPr="009D1DF1">
        <w:rPr>
          <w:rFonts w:ascii="Book Antiqua" w:hAnsi="Book Antiqua"/>
          <w:sz w:val="24"/>
          <w:szCs w:val="24"/>
        </w:rPr>
        <w:t xml:space="preserve">[2005] RPC 9, para 37. That is why he promulgated his three questions in </w:t>
      </w:r>
      <w:r w:rsidRPr="009D1DF1">
        <w:rPr>
          <w:rFonts w:ascii="Book Antiqua" w:hAnsi="Book Antiqua"/>
          <w:i/>
          <w:iCs/>
          <w:sz w:val="24"/>
          <w:szCs w:val="24"/>
        </w:rPr>
        <w:t xml:space="preserve">Improver </w:t>
      </w:r>
      <w:r w:rsidRPr="009D1DF1">
        <w:rPr>
          <w:rFonts w:ascii="Book Antiqua" w:hAnsi="Book Antiqua"/>
          <w:sz w:val="24"/>
          <w:szCs w:val="24"/>
        </w:rPr>
        <w:t xml:space="preserve">[1990] FSR 181, 189. By means of an extended version of the ordinary concept of “construction” or “interpretation”, Hoffmann J explained how our domestic law, as laid down in </w:t>
      </w:r>
      <w:r w:rsidRPr="009D1DF1">
        <w:rPr>
          <w:rFonts w:ascii="Book Antiqua" w:hAnsi="Book Antiqua"/>
          <w:i/>
          <w:iCs/>
          <w:sz w:val="24"/>
          <w:szCs w:val="24"/>
        </w:rPr>
        <w:t xml:space="preserve">Catnic </w:t>
      </w:r>
      <w:r w:rsidRPr="009D1DF1">
        <w:rPr>
          <w:rFonts w:ascii="Book Antiqua" w:hAnsi="Book Antiqua"/>
          <w:sz w:val="24"/>
          <w:szCs w:val="24"/>
        </w:rPr>
        <w:t xml:space="preserve">[1982] RPC 183, implements article 2 of the Protocol and thus, as I see it, how it gives effect to the doctrine of equivalents. That approach was (perhaps unsurprisingly) then adopted in </w:t>
      </w:r>
      <w:r w:rsidRPr="009D1DF1">
        <w:rPr>
          <w:rFonts w:ascii="Book Antiqua" w:hAnsi="Book Antiqua"/>
          <w:i/>
          <w:iCs/>
          <w:sz w:val="24"/>
          <w:szCs w:val="24"/>
        </w:rPr>
        <w:t xml:space="preserve">Kirin-Amgen </w:t>
      </w:r>
      <w:r w:rsidRPr="009D1DF1">
        <w:rPr>
          <w:rFonts w:ascii="Book Antiqua" w:hAnsi="Book Antiqua"/>
          <w:sz w:val="24"/>
          <w:szCs w:val="24"/>
        </w:rPr>
        <w:t xml:space="preserve">[2005] RPC 9. </w:t>
      </w:r>
    </w:p>
    <w:p w14:paraId="2422DFD6" w14:textId="77777777" w:rsidR="002C4CEF" w:rsidRPr="009D1DF1" w:rsidRDefault="002C4CEF" w:rsidP="009E4653">
      <w:pPr>
        <w:pStyle w:val="Normaalweb"/>
        <w:ind w:left="1134"/>
        <w:jc w:val="both"/>
        <w:rPr>
          <w:rFonts w:ascii="Book Antiqua" w:hAnsi="Book Antiqua"/>
          <w:sz w:val="24"/>
          <w:szCs w:val="24"/>
        </w:rPr>
      </w:pPr>
      <w:r w:rsidRPr="009D1DF1">
        <w:rPr>
          <w:rFonts w:ascii="Book Antiqua" w:hAnsi="Book Antiqua"/>
          <w:sz w:val="24"/>
          <w:szCs w:val="24"/>
        </w:rPr>
        <w:t xml:space="preserve">54. In my view, notwithstanding what Lord Diplock said in </w:t>
      </w:r>
      <w:r w:rsidRPr="009D1DF1">
        <w:rPr>
          <w:rFonts w:ascii="Book Antiqua" w:hAnsi="Book Antiqua"/>
          <w:i/>
          <w:iCs/>
          <w:sz w:val="24"/>
          <w:szCs w:val="24"/>
        </w:rPr>
        <w:t xml:space="preserve">Catnic </w:t>
      </w:r>
      <w:r w:rsidRPr="009D1DF1">
        <w:rPr>
          <w:rFonts w:ascii="Book Antiqua" w:hAnsi="Book Antiqua"/>
          <w:sz w:val="24"/>
          <w:szCs w:val="24"/>
        </w:rPr>
        <w:t xml:space="preserve">[1982] RPC 183, 242, a problem of infringement is best approached by addressing two issues, each of which is to be considered through the eyes of the notional addressee of the patent in suit, ie the person skilled in the relevant art. Those issues are: (i) does the variant infringe any of the claims as a matter of normal interpretation; and, if not, (ii) does the variant nonetheless infringe because it varies from the invention in a way or ways which is or are immaterial? If the answer to either issue is “yes”, there is an infringement; otherwise, there is not. Such an approach complies with article 2 of the Protocol, as issue (ii) squarely raises the principle of equivalents, but limits its ambit to those variants which contain immaterial variations from the invention. It is also apparent that the two issues comply with article 1 of the Protocol in that they involve balancing the competing interests of the patentee and of clarity, just as much as they seek to balance the encouragement of inventions and their disclosure with the need for a competitive market. In my view, issue (i) self-evidently raises a question of interpretation, whereas issue (ii) raises a question which would normally have to be answered by reference to the facts and expert evidence.” </w:t>
      </w:r>
    </w:p>
    <w:p w14:paraId="68F1CF42" w14:textId="6AB79A50" w:rsidR="002C4CEF" w:rsidRPr="00DA04EE" w:rsidRDefault="002C4CEF" w:rsidP="009E4653">
      <w:pPr>
        <w:pStyle w:val="ParaLevel1"/>
        <w:rPr>
          <w:rFonts w:ascii="Book Antiqua" w:hAnsi="Book Antiqua"/>
        </w:rPr>
      </w:pPr>
      <w:r w:rsidRPr="00DA04EE">
        <w:rPr>
          <w:rFonts w:ascii="Book Antiqua" w:hAnsi="Book Antiqua"/>
        </w:rPr>
        <w:t>Accordingly, the first stage is for the court to determine, through the eyes of the notional skilled addressee of the patent, whether the alleged infringement falls within the claim as a matter of “normal interpretation”. What is “normal interpretation</w:t>
      </w:r>
      <w:r w:rsidR="00080CFB">
        <w:rPr>
          <w:rFonts w:ascii="Book Antiqua" w:hAnsi="Book Antiqua"/>
        </w:rPr>
        <w:t>”</w:t>
      </w:r>
      <w:r w:rsidRPr="00DA04EE">
        <w:rPr>
          <w:rFonts w:ascii="Book Antiqua" w:hAnsi="Book Antiqua"/>
        </w:rPr>
        <w:t xml:space="preserve">? In </w:t>
      </w:r>
      <w:r w:rsidRPr="00DA04EE">
        <w:rPr>
          <w:rFonts w:ascii="Book Antiqua" w:hAnsi="Book Antiqua"/>
          <w:i/>
        </w:rPr>
        <w:t>Icescape Limited v Ice-World International BV &amp; Ors</w:t>
      </w:r>
      <w:r w:rsidRPr="00DA04EE">
        <w:rPr>
          <w:rFonts w:ascii="Book Antiqua" w:hAnsi="Book Antiqua"/>
        </w:rPr>
        <w:t xml:space="preserve"> [</w:t>
      </w:r>
      <w:r w:rsidR="00B70959">
        <w:rPr>
          <w:rFonts w:ascii="Book Antiqua" w:hAnsi="Book Antiqua"/>
        </w:rPr>
        <w:t>2018] EWCA Civ 2219, Lord Kitchi</w:t>
      </w:r>
      <w:r w:rsidRPr="00DA04EE">
        <w:rPr>
          <w:rFonts w:ascii="Book Antiqua" w:hAnsi="Book Antiqua"/>
        </w:rPr>
        <w:t xml:space="preserve">n (with whom Floyd LJ and Longmore LJ agreed) discussed the issue at [60] and concluded that he had </w:t>
      </w:r>
      <w:r w:rsidRPr="00DA04EE">
        <w:rPr>
          <w:rFonts w:ascii="Book Antiqua" w:hAnsi="Book Antiqua"/>
          <w:i/>
        </w:rPr>
        <w:t>“no doubt that (despite Lord Neuberger’s use of the term “literal” in considering issue (ii) and to which I will come in a moment), issue (i) involves purposive interpretation”.</w:t>
      </w:r>
      <w:r w:rsidRPr="00DA04EE">
        <w:rPr>
          <w:rFonts w:ascii="Book Antiqua" w:hAnsi="Book Antiqua"/>
        </w:rPr>
        <w:t xml:space="preserve"> He noted that this was also the view of Arnold J in </w:t>
      </w:r>
      <w:r w:rsidRPr="00DA04EE">
        <w:rPr>
          <w:rFonts w:ascii="Book Antiqua" w:hAnsi="Book Antiqua"/>
          <w:i/>
        </w:rPr>
        <w:t>Myland v Yeda</w:t>
      </w:r>
      <w:r w:rsidRPr="00DA04EE">
        <w:rPr>
          <w:rFonts w:ascii="Book Antiqua" w:hAnsi="Book Antiqua"/>
        </w:rPr>
        <w:t xml:space="preserve"> [2017] EWHC 2629 and of Carr J in </w:t>
      </w:r>
      <w:r w:rsidRPr="00DA04EE">
        <w:rPr>
          <w:rFonts w:ascii="Book Antiqua" w:hAnsi="Book Antiqua"/>
          <w:i/>
        </w:rPr>
        <w:t xml:space="preserve">Illumina Inc and ors v Premaitha Health Plc and anor </w:t>
      </w:r>
      <w:r w:rsidRPr="00DA04EE">
        <w:rPr>
          <w:rFonts w:ascii="Book Antiqua" w:hAnsi="Book Antiqua"/>
        </w:rPr>
        <w:t xml:space="preserve">[2017] EWHC 2930 at [201], and Mr Longstaff reminds me it was also the view of Birss J in </w:t>
      </w:r>
      <w:r w:rsidRPr="00DA04EE">
        <w:rPr>
          <w:rFonts w:ascii="Book Antiqua" w:hAnsi="Book Antiqua"/>
          <w:i/>
        </w:rPr>
        <w:t>Liqwd Inc v L’Oreal SA</w:t>
      </w:r>
      <w:r w:rsidRPr="00DA04EE">
        <w:rPr>
          <w:rFonts w:ascii="Book Antiqua" w:hAnsi="Book Antiqua"/>
        </w:rPr>
        <w:t xml:space="preserve"> [2018] EWHC 1</w:t>
      </w:r>
      <w:r w:rsidR="00B02AD0" w:rsidRPr="00DA04EE">
        <w:rPr>
          <w:rFonts w:ascii="Book Antiqua" w:hAnsi="Book Antiqua"/>
        </w:rPr>
        <w:t>394 (Pat) at [58]-</w:t>
      </w:r>
      <w:r w:rsidRPr="00DA04EE">
        <w:rPr>
          <w:rFonts w:ascii="Book Antiqua" w:hAnsi="Book Antiqua"/>
        </w:rPr>
        <w:t>[59].</w:t>
      </w:r>
    </w:p>
    <w:p w14:paraId="1FA911DC" w14:textId="4EA77250" w:rsidR="002C4CEF" w:rsidRPr="00DA04EE" w:rsidRDefault="002C4CEF" w:rsidP="009E4653">
      <w:pPr>
        <w:pStyle w:val="ParaLevel1"/>
        <w:rPr>
          <w:rFonts w:ascii="Book Antiqua" w:hAnsi="Book Antiqua"/>
        </w:rPr>
      </w:pPr>
      <w:r w:rsidRPr="00DA04EE">
        <w:rPr>
          <w:rFonts w:ascii="Book Antiqua" w:hAnsi="Book Antiqua"/>
        </w:rPr>
        <w:t xml:space="preserve">Lord Neuberger in </w:t>
      </w:r>
      <w:r w:rsidRPr="00080CFB">
        <w:rPr>
          <w:rFonts w:ascii="Book Antiqua" w:hAnsi="Book Antiqua"/>
          <w:i/>
        </w:rPr>
        <w:t>Actavis</w:t>
      </w:r>
      <w:r w:rsidRPr="00DA04EE">
        <w:rPr>
          <w:rFonts w:ascii="Book Antiqua" w:hAnsi="Book Antiqua"/>
        </w:rPr>
        <w:t xml:space="preserve"> considered </w:t>
      </w:r>
      <w:r w:rsidR="00133F3B">
        <w:rPr>
          <w:rFonts w:ascii="Book Antiqua" w:hAnsi="Book Antiqua"/>
        </w:rPr>
        <w:t xml:space="preserve">issue (ii), namely </w:t>
      </w:r>
      <w:r w:rsidRPr="00DA04EE">
        <w:rPr>
          <w:rFonts w:ascii="Book Antiqua" w:hAnsi="Book Antiqua"/>
        </w:rPr>
        <w:t>the question of what makes a variant immaterial</w:t>
      </w:r>
      <w:r w:rsidR="00E30A8C">
        <w:rPr>
          <w:rFonts w:ascii="Book Antiqua" w:hAnsi="Book Antiqua"/>
        </w:rPr>
        <w:t>,</w:t>
      </w:r>
      <w:r w:rsidRPr="00DA04EE">
        <w:rPr>
          <w:rFonts w:ascii="Book Antiqua" w:hAnsi="Book Antiqua"/>
        </w:rPr>
        <w:t xml:space="preserve"> in detail from [59] to [65]. At [66], he reformulated the </w:t>
      </w:r>
      <w:r w:rsidRPr="00DA04EE">
        <w:rPr>
          <w:rFonts w:ascii="Book Antiqua" w:hAnsi="Book Antiqua"/>
          <w:i/>
        </w:rPr>
        <w:t>Improver</w:t>
      </w:r>
      <w:r w:rsidRPr="00DA04EE">
        <w:rPr>
          <w:rFonts w:ascii="Book Antiqua" w:hAnsi="Book Antiqua"/>
        </w:rPr>
        <w:t xml:space="preserve"> questions of Lord Hoffman as follows:</w:t>
      </w:r>
    </w:p>
    <w:p w14:paraId="341EFA91" w14:textId="77777777" w:rsidR="002C4CEF" w:rsidRPr="009D1DF1" w:rsidRDefault="002C4CEF" w:rsidP="009E4653">
      <w:pPr>
        <w:pStyle w:val="Normaalweb"/>
        <w:ind w:left="1134"/>
        <w:jc w:val="both"/>
        <w:rPr>
          <w:rFonts w:ascii="Book Antiqua" w:hAnsi="Book Antiqua"/>
          <w:sz w:val="24"/>
          <w:szCs w:val="24"/>
        </w:rPr>
      </w:pPr>
      <w:r w:rsidRPr="009D1DF1">
        <w:rPr>
          <w:rFonts w:ascii="Book Antiqua" w:hAnsi="Book Antiqua"/>
          <w:sz w:val="24"/>
          <w:szCs w:val="24"/>
        </w:rPr>
        <w:t>“66. In these circumstances, given the weight that has been given by courts in this jurisdiction (and indeed in some other jurisdictions) to the three “</w:t>
      </w:r>
      <w:r w:rsidRPr="009D1DF1">
        <w:rPr>
          <w:rFonts w:ascii="Book Antiqua" w:hAnsi="Book Antiqua"/>
          <w:i/>
          <w:iCs/>
          <w:sz w:val="24"/>
          <w:szCs w:val="24"/>
        </w:rPr>
        <w:t>Improver</w:t>
      </w:r>
      <w:r w:rsidRPr="009D1DF1">
        <w:rPr>
          <w:rFonts w:ascii="Book Antiqua" w:hAnsi="Book Antiqua"/>
          <w:sz w:val="24"/>
          <w:szCs w:val="24"/>
        </w:rPr>
        <w:t xml:space="preserve"> questions”, I think it must be right for this court to express in our own words our reformulated version of those questions. In doing so, it is right to emphasise, as Lord Hoffmann did in </w:t>
      </w:r>
      <w:r w:rsidRPr="009D1DF1">
        <w:rPr>
          <w:rFonts w:ascii="Book Antiqua" w:hAnsi="Book Antiqua"/>
          <w:i/>
          <w:iCs/>
          <w:sz w:val="24"/>
          <w:szCs w:val="24"/>
        </w:rPr>
        <w:t xml:space="preserve">Kirin-Amgen </w:t>
      </w:r>
      <w:r w:rsidRPr="009D1DF1">
        <w:rPr>
          <w:rFonts w:ascii="Book Antiqua" w:hAnsi="Book Antiqua"/>
          <w:sz w:val="24"/>
          <w:szCs w:val="24"/>
        </w:rPr>
        <w:t xml:space="preserve">[2005] RPC 9, para 52, that these questions are guidelines, not strict rules (as indeed the Oberlandesgericht indicated in Case No 6 U 3039/16, when saying that it was “generally” true that “three requirements must be met”). While the language of some or all of the questions may sometimes have to be adapted to apply more aptly to the specific facts of a particular case, the three reformulated questions are as follows: </w:t>
      </w:r>
    </w:p>
    <w:p w14:paraId="237F57C2" w14:textId="6F4FA00B" w:rsidR="002C4CEF" w:rsidRPr="009D1DF1" w:rsidRDefault="002C4CEF" w:rsidP="009E4653">
      <w:pPr>
        <w:pStyle w:val="Normaalweb"/>
        <w:ind w:left="1701"/>
        <w:jc w:val="both"/>
        <w:rPr>
          <w:rFonts w:ascii="Book Antiqua" w:hAnsi="Book Antiqua"/>
          <w:sz w:val="24"/>
          <w:szCs w:val="24"/>
        </w:rPr>
      </w:pPr>
      <w:r w:rsidRPr="009D1DF1">
        <w:rPr>
          <w:rFonts w:ascii="Book Antiqua" w:hAnsi="Book Antiqua"/>
          <w:sz w:val="24"/>
          <w:szCs w:val="24"/>
        </w:rPr>
        <w:t>i) Notwithstanding that it is not within the literal meaning of the relevant claim(s) of the patent, does the variant achieve substantially the same result in substantially the same way as the invention, i</w:t>
      </w:r>
      <w:r w:rsidR="00133F3B">
        <w:rPr>
          <w:rFonts w:ascii="Book Antiqua" w:hAnsi="Book Antiqua"/>
          <w:sz w:val="24"/>
          <w:szCs w:val="24"/>
        </w:rPr>
        <w:t>.</w:t>
      </w:r>
      <w:r w:rsidRPr="009D1DF1">
        <w:rPr>
          <w:rFonts w:ascii="Book Antiqua" w:hAnsi="Book Antiqua"/>
          <w:sz w:val="24"/>
          <w:szCs w:val="24"/>
        </w:rPr>
        <w:t>e</w:t>
      </w:r>
      <w:r w:rsidR="00133F3B">
        <w:rPr>
          <w:rFonts w:ascii="Book Antiqua" w:hAnsi="Book Antiqua"/>
          <w:sz w:val="24"/>
          <w:szCs w:val="24"/>
        </w:rPr>
        <w:t>.</w:t>
      </w:r>
      <w:r w:rsidRPr="009D1DF1">
        <w:rPr>
          <w:rFonts w:ascii="Book Antiqua" w:hAnsi="Book Antiqua"/>
          <w:sz w:val="24"/>
          <w:szCs w:val="24"/>
        </w:rPr>
        <w:t xml:space="preserve"> the inventive concept revealed by the patent? </w:t>
      </w:r>
    </w:p>
    <w:p w14:paraId="6756611A" w14:textId="77777777" w:rsidR="002C4CEF" w:rsidRPr="009D1DF1" w:rsidRDefault="002C4CEF" w:rsidP="009E4653">
      <w:pPr>
        <w:pStyle w:val="Normaalweb"/>
        <w:ind w:left="1701"/>
        <w:jc w:val="both"/>
        <w:rPr>
          <w:rFonts w:ascii="Book Antiqua" w:hAnsi="Book Antiqua"/>
          <w:sz w:val="24"/>
          <w:szCs w:val="24"/>
        </w:rPr>
      </w:pPr>
      <w:r w:rsidRPr="009D1DF1">
        <w:rPr>
          <w:rFonts w:ascii="Book Antiqua" w:hAnsi="Book Antiqua"/>
          <w:sz w:val="24"/>
          <w:szCs w:val="24"/>
        </w:rPr>
        <w:t xml:space="preserve">ii) Would it be obvious to the person skilled in the art, reading the patent at the priority date, but knowing that the variant achieves substantially the same result as the invention, that it does so in substantially the same way as the invention? </w:t>
      </w:r>
    </w:p>
    <w:p w14:paraId="77D8020D" w14:textId="77777777" w:rsidR="002C4CEF" w:rsidRPr="009D1DF1" w:rsidRDefault="002C4CEF" w:rsidP="009E4653">
      <w:pPr>
        <w:pStyle w:val="Normaalweb"/>
        <w:ind w:left="1701"/>
        <w:jc w:val="both"/>
        <w:rPr>
          <w:rFonts w:ascii="Book Antiqua" w:hAnsi="Book Antiqua"/>
          <w:sz w:val="24"/>
          <w:szCs w:val="24"/>
        </w:rPr>
      </w:pPr>
      <w:r w:rsidRPr="009D1DF1">
        <w:rPr>
          <w:rFonts w:ascii="Book Antiqua" w:hAnsi="Book Antiqua"/>
          <w:sz w:val="24"/>
          <w:szCs w:val="24"/>
        </w:rPr>
        <w:t xml:space="preserve">iii) Would such a reader of the patent have concluded that the patentee nonetheless intended that strict compliance with the literal meaning of the relevant claim(s) of the patent was an essential requirement of the invention? </w:t>
      </w:r>
    </w:p>
    <w:p w14:paraId="34D3A43C" w14:textId="77777777" w:rsidR="002C4CEF" w:rsidRPr="009D1DF1" w:rsidRDefault="002C4CEF" w:rsidP="009E4653">
      <w:pPr>
        <w:pStyle w:val="Normaalweb"/>
        <w:ind w:left="1134"/>
        <w:jc w:val="both"/>
        <w:rPr>
          <w:rFonts w:ascii="Book Antiqua" w:hAnsi="Book Antiqua"/>
          <w:sz w:val="24"/>
          <w:szCs w:val="24"/>
        </w:rPr>
      </w:pPr>
      <w:r w:rsidRPr="009D1DF1">
        <w:rPr>
          <w:rFonts w:ascii="Book Antiqua" w:hAnsi="Book Antiqua"/>
          <w:sz w:val="24"/>
          <w:szCs w:val="24"/>
        </w:rPr>
        <w:t>In order to establish infringement in a case where there is no literal infringement, a patentee would have to establish that the answer to the first two questions was “yes” and that the answer to the third question was “no”.”</w:t>
      </w:r>
    </w:p>
    <w:p w14:paraId="365060D9" w14:textId="5B997E1B" w:rsidR="002C4CEF" w:rsidRPr="009D1DF1" w:rsidRDefault="002C4CEF" w:rsidP="009E4653">
      <w:pPr>
        <w:pStyle w:val="ParaLevel1"/>
        <w:rPr>
          <w:rFonts w:ascii="Book Antiqua" w:hAnsi="Book Antiqua"/>
          <w:szCs w:val="24"/>
        </w:rPr>
      </w:pPr>
      <w:r w:rsidRPr="009D1DF1">
        <w:rPr>
          <w:rFonts w:ascii="Book Antiqua" w:hAnsi="Book Antiqua"/>
          <w:szCs w:val="24"/>
        </w:rPr>
        <w:t xml:space="preserve">Turning then to the first issue: does the 2017 Bag infringe </w:t>
      </w:r>
      <w:r w:rsidR="00133F3B">
        <w:rPr>
          <w:rFonts w:ascii="Book Antiqua" w:hAnsi="Book Antiqua"/>
          <w:szCs w:val="24"/>
        </w:rPr>
        <w:t xml:space="preserve">Amended </w:t>
      </w:r>
      <w:r w:rsidRPr="009D1DF1">
        <w:rPr>
          <w:rFonts w:ascii="Book Antiqua" w:hAnsi="Book Antiqua"/>
          <w:szCs w:val="24"/>
        </w:rPr>
        <w:t>Claim 1 as a matter of normal interpretation? This is an easy question to answer in the negative and it is conceded by Excel that it does not</w:t>
      </w:r>
      <w:r w:rsidR="00237DFF" w:rsidRPr="009D1DF1">
        <w:rPr>
          <w:rFonts w:ascii="Book Antiqua" w:hAnsi="Book Antiqua"/>
          <w:szCs w:val="24"/>
        </w:rPr>
        <w:t>, so is not a matter in dispute</w:t>
      </w:r>
      <w:r w:rsidRPr="009D1DF1">
        <w:rPr>
          <w:rFonts w:ascii="Book Antiqua" w:hAnsi="Book Antiqua"/>
          <w:szCs w:val="24"/>
        </w:rPr>
        <w:t xml:space="preserve">. The 2017 Bag does not have </w:t>
      </w:r>
      <w:r w:rsidRPr="009D1DF1">
        <w:rPr>
          <w:rFonts w:ascii="Book Antiqua" w:hAnsi="Book Antiqua"/>
          <w:i/>
          <w:szCs w:val="24"/>
        </w:rPr>
        <w:t xml:space="preserve">“an openable closure extending substantially from the first end to the second end…”, </w:t>
      </w:r>
      <w:r w:rsidRPr="009D1DF1">
        <w:rPr>
          <w:rFonts w:ascii="Book Antiqua" w:hAnsi="Book Antiqua"/>
          <w:szCs w:val="24"/>
        </w:rPr>
        <w:t>as required by Claim 1.</w:t>
      </w:r>
    </w:p>
    <w:p w14:paraId="6B3D7AB2" w14:textId="32B6C6A2" w:rsidR="008F7C10" w:rsidRPr="009D1DF1" w:rsidRDefault="00D91222" w:rsidP="009E4653">
      <w:pPr>
        <w:pStyle w:val="ParaLevel1"/>
        <w:rPr>
          <w:rFonts w:ascii="Book Antiqua" w:hAnsi="Book Antiqua"/>
          <w:szCs w:val="24"/>
        </w:rPr>
      </w:pPr>
      <w:r>
        <w:rPr>
          <w:rFonts w:ascii="Book Antiqua" w:hAnsi="Book Antiqua"/>
          <w:szCs w:val="24"/>
        </w:rPr>
        <w:t>Turning</w:t>
      </w:r>
      <w:r w:rsidR="002C4CEF" w:rsidRPr="009D1DF1">
        <w:rPr>
          <w:rFonts w:ascii="Book Antiqua" w:hAnsi="Book Antiqua"/>
          <w:szCs w:val="24"/>
        </w:rPr>
        <w:t xml:space="preserve"> to the second issue: does the variant nonetheless infringe because it varies from the invention in a way or ways which is or are immaterial? </w:t>
      </w:r>
      <w:r w:rsidR="00B922E5" w:rsidRPr="009D1DF1">
        <w:rPr>
          <w:rFonts w:ascii="Book Antiqua" w:hAnsi="Book Antiqua"/>
          <w:szCs w:val="24"/>
        </w:rPr>
        <w:t xml:space="preserve">This is where the </w:t>
      </w:r>
      <w:r w:rsidR="00133F3B">
        <w:rPr>
          <w:rFonts w:ascii="Book Antiqua" w:hAnsi="Book Antiqua"/>
          <w:szCs w:val="24"/>
        </w:rPr>
        <w:t xml:space="preserve">real </w:t>
      </w:r>
      <w:r w:rsidR="00B922E5" w:rsidRPr="009D1DF1">
        <w:rPr>
          <w:rFonts w:ascii="Book Antiqua" w:hAnsi="Book Antiqua"/>
          <w:szCs w:val="24"/>
        </w:rPr>
        <w:t>dispute between the parties lies</w:t>
      </w:r>
      <w:r w:rsidR="008F7C10" w:rsidRPr="009D1DF1">
        <w:rPr>
          <w:rFonts w:ascii="Book Antiqua" w:hAnsi="Book Antiqua"/>
          <w:szCs w:val="24"/>
        </w:rPr>
        <w:t xml:space="preserve">, and so I move on to the three </w:t>
      </w:r>
      <w:r w:rsidR="008F7C10" w:rsidRPr="00080CFB">
        <w:rPr>
          <w:rFonts w:ascii="Book Antiqua" w:hAnsi="Book Antiqua"/>
          <w:i/>
          <w:szCs w:val="24"/>
        </w:rPr>
        <w:t>Activis</w:t>
      </w:r>
      <w:r w:rsidR="00080CFB">
        <w:rPr>
          <w:rFonts w:ascii="Book Antiqua" w:hAnsi="Book Antiqua"/>
          <w:szCs w:val="24"/>
        </w:rPr>
        <w:t xml:space="preserve"> q</w:t>
      </w:r>
      <w:r w:rsidR="008F7C10" w:rsidRPr="009D1DF1">
        <w:rPr>
          <w:rFonts w:ascii="Book Antiqua" w:hAnsi="Book Antiqua"/>
          <w:szCs w:val="24"/>
        </w:rPr>
        <w:t>uestions</w:t>
      </w:r>
      <w:r w:rsidR="00B922E5" w:rsidRPr="009D1DF1">
        <w:rPr>
          <w:rFonts w:ascii="Book Antiqua" w:hAnsi="Book Antiqua"/>
          <w:szCs w:val="24"/>
        </w:rPr>
        <w:t>.</w:t>
      </w:r>
    </w:p>
    <w:p w14:paraId="131035CE" w14:textId="6BDAF114" w:rsidR="00CC0218" w:rsidRPr="00133F3B" w:rsidRDefault="00CC0218" w:rsidP="009E4653">
      <w:pPr>
        <w:pStyle w:val="ParaLevel1"/>
        <w:numPr>
          <w:ilvl w:val="0"/>
          <w:numId w:val="0"/>
        </w:numPr>
        <w:ind w:left="142"/>
        <w:rPr>
          <w:rFonts w:ascii="Book Antiqua" w:hAnsi="Book Antiqua"/>
          <w:szCs w:val="24"/>
          <w:u w:val="single"/>
        </w:rPr>
      </w:pPr>
      <w:r w:rsidRPr="00133F3B">
        <w:rPr>
          <w:rFonts w:ascii="Book Antiqua" w:hAnsi="Book Antiqua"/>
          <w:szCs w:val="24"/>
          <w:u w:val="single"/>
        </w:rPr>
        <w:t>Q1 Does the variant achieve substantially the same result in substantially the same way as the invention?</w:t>
      </w:r>
    </w:p>
    <w:p w14:paraId="44A03082" w14:textId="63A46B9E" w:rsidR="002C4CEF" w:rsidRDefault="00CC0218" w:rsidP="009E4653">
      <w:pPr>
        <w:pStyle w:val="ParaLevel1"/>
        <w:rPr>
          <w:rFonts w:ascii="Book Antiqua" w:hAnsi="Book Antiqua"/>
          <w:szCs w:val="24"/>
        </w:rPr>
      </w:pPr>
      <w:r w:rsidRPr="009D1DF1">
        <w:rPr>
          <w:rFonts w:ascii="Book Antiqua" w:hAnsi="Book Antiqua"/>
          <w:szCs w:val="24"/>
        </w:rPr>
        <w:t xml:space="preserve"> </w:t>
      </w:r>
      <w:r w:rsidR="002C4CEF" w:rsidRPr="009D1DF1">
        <w:rPr>
          <w:rFonts w:ascii="Book Antiqua" w:hAnsi="Book Antiqua"/>
          <w:szCs w:val="24"/>
        </w:rPr>
        <w:t>In order to determine</w:t>
      </w:r>
      <w:r w:rsidR="00B922E5" w:rsidRPr="009D1DF1">
        <w:rPr>
          <w:rFonts w:ascii="Book Antiqua" w:hAnsi="Book Antiqua"/>
          <w:szCs w:val="24"/>
        </w:rPr>
        <w:t xml:space="preserve"> </w:t>
      </w:r>
      <w:r w:rsidRPr="009D1DF1">
        <w:rPr>
          <w:rFonts w:ascii="Book Antiqua" w:hAnsi="Book Antiqua"/>
          <w:szCs w:val="24"/>
        </w:rPr>
        <w:t>the first question,</w:t>
      </w:r>
      <w:r w:rsidR="002C4CEF" w:rsidRPr="009D1DF1">
        <w:rPr>
          <w:rFonts w:ascii="Book Antiqua" w:hAnsi="Book Antiqua"/>
          <w:szCs w:val="24"/>
        </w:rPr>
        <w:t xml:space="preserve"> the court is required to identify the inve</w:t>
      </w:r>
      <w:r w:rsidR="00B70959">
        <w:rPr>
          <w:rFonts w:ascii="Book Antiqua" w:hAnsi="Book Antiqua"/>
          <w:szCs w:val="24"/>
        </w:rPr>
        <w:t>ntive concept, which Lord Kitchi</w:t>
      </w:r>
      <w:r w:rsidR="002C4CEF" w:rsidRPr="009D1DF1">
        <w:rPr>
          <w:rFonts w:ascii="Book Antiqua" w:hAnsi="Book Antiqua"/>
          <w:szCs w:val="24"/>
        </w:rPr>
        <w:t xml:space="preserve">n described in </w:t>
      </w:r>
      <w:r w:rsidR="002C4CEF" w:rsidRPr="009D1DF1">
        <w:rPr>
          <w:rFonts w:ascii="Book Antiqua" w:hAnsi="Book Antiqua"/>
          <w:i/>
          <w:szCs w:val="24"/>
        </w:rPr>
        <w:t>Icescape</w:t>
      </w:r>
      <w:r w:rsidR="002C4CEF" w:rsidRPr="009D1DF1">
        <w:rPr>
          <w:rFonts w:ascii="Book Antiqua" w:hAnsi="Book Antiqua"/>
          <w:szCs w:val="24"/>
        </w:rPr>
        <w:t xml:space="preserve"> at [72] as </w:t>
      </w:r>
      <w:r w:rsidR="002C4CEF" w:rsidRPr="009D1DF1">
        <w:rPr>
          <w:rFonts w:ascii="Book Antiqua" w:hAnsi="Book Antiqua"/>
          <w:i/>
          <w:szCs w:val="24"/>
        </w:rPr>
        <w:t>“the problem underlying the invention and the patent’s inventive core”.</w:t>
      </w:r>
      <w:r w:rsidR="002C4CEF" w:rsidRPr="009D1DF1">
        <w:rPr>
          <w:rFonts w:ascii="Book Antiqua" w:hAnsi="Book Antiqua"/>
          <w:szCs w:val="24"/>
        </w:rPr>
        <w:t xml:space="preserve"> </w:t>
      </w:r>
    </w:p>
    <w:p w14:paraId="5F85B5CD" w14:textId="352EDEF9" w:rsidR="003B4E3C" w:rsidRPr="003B4E3C" w:rsidRDefault="00A579A2" w:rsidP="009E4653">
      <w:pPr>
        <w:pStyle w:val="ParaLevel1"/>
        <w:rPr>
          <w:rFonts w:ascii="Book Antiqua" w:hAnsi="Book Antiqua"/>
          <w:szCs w:val="24"/>
        </w:rPr>
      </w:pPr>
      <w:r w:rsidRPr="009D1DF1">
        <w:rPr>
          <w:rFonts w:ascii="Book Antiqua" w:hAnsi="Book Antiqua"/>
          <w:szCs w:val="24"/>
        </w:rPr>
        <w:t>Excel maintains that the invent</w:t>
      </w:r>
      <w:r w:rsidR="00E54EEB">
        <w:rPr>
          <w:rFonts w:ascii="Book Antiqua" w:hAnsi="Book Antiqua"/>
          <w:szCs w:val="24"/>
        </w:rPr>
        <w:t>ion disclosed by GB’116 is the ‘plug and play’</w:t>
      </w:r>
      <w:r w:rsidRPr="009D1DF1">
        <w:rPr>
          <w:rFonts w:ascii="Book Antiqua" w:hAnsi="Book Antiqua"/>
          <w:szCs w:val="24"/>
        </w:rPr>
        <w:t xml:space="preserve"> functionality of the </w:t>
      </w:r>
      <w:r>
        <w:rPr>
          <w:rFonts w:ascii="Book Antiqua" w:hAnsi="Book Antiqua"/>
          <w:szCs w:val="24"/>
        </w:rPr>
        <w:t>ammunition bag</w:t>
      </w:r>
      <w:r w:rsidR="003B4E3C">
        <w:rPr>
          <w:rFonts w:ascii="Book Antiqua" w:hAnsi="Book Antiqua"/>
          <w:szCs w:val="24"/>
        </w:rPr>
        <w:t xml:space="preserve">, as described in the element of the claim </w:t>
      </w:r>
      <w:r w:rsidR="003B4E3C" w:rsidRPr="003B4E3C">
        <w:rPr>
          <w:rFonts w:ascii="Book Antiqua" w:hAnsi="Book Antiqua"/>
          <w:i/>
          <w:szCs w:val="24"/>
        </w:rPr>
        <w:t>“</w:t>
      </w:r>
      <w:r w:rsidR="003B4E3C" w:rsidRPr="003B4E3C">
        <w:rPr>
          <w:rFonts w:ascii="Book Antiqua" w:hAnsi="Book Antiqua"/>
          <w:i/>
        </w:rPr>
        <w:t>wherein when in use the end of the linked round can be fed into a firearm and the linked round is pulled out of the sleeve through the opening such that the firearm can be used without the need to further remove the linked round from the sleeve</w:t>
      </w:r>
      <w:r w:rsidR="003B4E3C">
        <w:rPr>
          <w:rFonts w:ascii="Book Antiqua" w:hAnsi="Book Antiqua"/>
          <w:i/>
        </w:rPr>
        <w:t>.</w:t>
      </w:r>
      <w:r w:rsidR="003B4E3C" w:rsidRPr="003B4E3C">
        <w:rPr>
          <w:rFonts w:ascii="Book Antiqua" w:hAnsi="Book Antiqua"/>
          <w:i/>
        </w:rPr>
        <w:t>”</w:t>
      </w:r>
    </w:p>
    <w:p w14:paraId="76B1175F" w14:textId="04902608" w:rsidR="00FA363B" w:rsidRDefault="003B4E3C" w:rsidP="009E4653">
      <w:pPr>
        <w:pStyle w:val="ParaLevel1"/>
        <w:rPr>
          <w:rFonts w:ascii="Book Antiqua" w:hAnsi="Book Antiqua"/>
          <w:szCs w:val="24"/>
        </w:rPr>
      </w:pPr>
      <w:r>
        <w:rPr>
          <w:rFonts w:ascii="Book Antiqua" w:hAnsi="Book Antiqua"/>
          <w:szCs w:val="24"/>
        </w:rPr>
        <w:t>It submits that t</w:t>
      </w:r>
      <w:r w:rsidR="00FA363B">
        <w:rPr>
          <w:rFonts w:ascii="Book Antiqua" w:hAnsi="Book Antiqua"/>
          <w:szCs w:val="24"/>
        </w:rPr>
        <w:t xml:space="preserve">he specification </w:t>
      </w:r>
      <w:r>
        <w:rPr>
          <w:rFonts w:ascii="Book Antiqua" w:hAnsi="Book Antiqua"/>
          <w:szCs w:val="24"/>
        </w:rPr>
        <w:t>highlights</w:t>
      </w:r>
      <w:r w:rsidR="00FA363B">
        <w:rPr>
          <w:rFonts w:ascii="Book Antiqua" w:hAnsi="Book Antiqua"/>
          <w:szCs w:val="24"/>
        </w:rPr>
        <w:t xml:space="preserve"> on page 1 that </w:t>
      </w:r>
      <w:r>
        <w:rPr>
          <w:rFonts w:ascii="Book Antiqua" w:hAnsi="Book Antiqua"/>
          <w:szCs w:val="24"/>
        </w:rPr>
        <w:t>this is the inventive core</w:t>
      </w:r>
      <w:r w:rsidR="00FA363B">
        <w:rPr>
          <w:rFonts w:ascii="Book Antiqua" w:hAnsi="Book Antiqua"/>
          <w:szCs w:val="24"/>
        </w:rPr>
        <w:t xml:space="preserve">: </w:t>
      </w:r>
      <w:r w:rsidR="00FA363B" w:rsidRPr="00E54EEB">
        <w:rPr>
          <w:rFonts w:ascii="Book Antiqua" w:hAnsi="Book Antiqua"/>
          <w:i/>
          <w:szCs w:val="24"/>
        </w:rPr>
        <w:t xml:space="preserve">“Preferably the improved means should be able to be easily carried by an individual who is wearing a standard patrol pack or any other similar pack. </w:t>
      </w:r>
      <w:r w:rsidR="00FA363B" w:rsidRPr="003B4E3C">
        <w:rPr>
          <w:rFonts w:ascii="Book Antiqua" w:hAnsi="Book Antiqua"/>
          <w:i/>
          <w:szCs w:val="24"/>
          <w:u w:val="single"/>
        </w:rPr>
        <w:t>Additionally, the improved means should allow a lin</w:t>
      </w:r>
      <w:r w:rsidR="00407E6E" w:rsidRPr="003B4E3C">
        <w:rPr>
          <w:rFonts w:ascii="Book Antiqua" w:hAnsi="Book Antiqua"/>
          <w:i/>
          <w:szCs w:val="24"/>
          <w:u w:val="single"/>
        </w:rPr>
        <w:t>k</w:t>
      </w:r>
      <w:r w:rsidR="00FA363B" w:rsidRPr="003B4E3C">
        <w:rPr>
          <w:rFonts w:ascii="Book Antiqua" w:hAnsi="Book Antiqua"/>
          <w:i/>
          <w:szCs w:val="24"/>
          <w:u w:val="single"/>
        </w:rPr>
        <w:t>ed round to be used without the need to completely remove the round before starting firing in order to prevent dirt or dust impregnating the round</w:t>
      </w:r>
      <w:r w:rsidR="00FA363B" w:rsidRPr="003B4E3C">
        <w:rPr>
          <w:rFonts w:ascii="Book Antiqua" w:hAnsi="Book Antiqua"/>
          <w:szCs w:val="24"/>
        </w:rPr>
        <w:t>”</w:t>
      </w:r>
      <w:r w:rsidRPr="003B4E3C">
        <w:rPr>
          <w:rFonts w:ascii="Book Antiqua" w:hAnsi="Book Antiqua"/>
          <w:szCs w:val="24"/>
        </w:rPr>
        <w:t xml:space="preserve"> (my emphasis)</w:t>
      </w:r>
      <w:r w:rsidR="00407E6E" w:rsidRPr="003B4E3C">
        <w:rPr>
          <w:rFonts w:ascii="Book Antiqua" w:hAnsi="Book Antiqua"/>
          <w:szCs w:val="24"/>
        </w:rPr>
        <w:t>.</w:t>
      </w:r>
      <w:r w:rsidR="00407E6E">
        <w:rPr>
          <w:rFonts w:ascii="Book Antiqua" w:hAnsi="Book Antiqua"/>
          <w:szCs w:val="24"/>
        </w:rPr>
        <w:t xml:space="preserve"> On p</w:t>
      </w:r>
      <w:r w:rsidR="00FA363B">
        <w:rPr>
          <w:rFonts w:ascii="Book Antiqua" w:hAnsi="Book Antiqua"/>
          <w:szCs w:val="24"/>
        </w:rPr>
        <w:t>age 2</w:t>
      </w:r>
      <w:r w:rsidR="00407E6E">
        <w:rPr>
          <w:rFonts w:ascii="Book Antiqua" w:hAnsi="Book Antiqua"/>
          <w:szCs w:val="24"/>
        </w:rPr>
        <w:t>,</w:t>
      </w:r>
      <w:r w:rsidR="00FA363B">
        <w:rPr>
          <w:rFonts w:ascii="Book Antiqua" w:hAnsi="Book Antiqua"/>
          <w:szCs w:val="24"/>
        </w:rPr>
        <w:t xml:space="preserve"> </w:t>
      </w:r>
      <w:r>
        <w:rPr>
          <w:rFonts w:ascii="Book Antiqua" w:hAnsi="Book Antiqua"/>
          <w:szCs w:val="24"/>
        </w:rPr>
        <w:t>the specification further</w:t>
      </w:r>
      <w:r w:rsidR="00FA363B">
        <w:rPr>
          <w:rFonts w:ascii="Book Antiqua" w:hAnsi="Book Antiqua"/>
          <w:szCs w:val="24"/>
        </w:rPr>
        <w:t xml:space="preserve"> identifies that </w:t>
      </w:r>
      <w:r w:rsidR="00FA363B" w:rsidRPr="00E54EEB">
        <w:rPr>
          <w:rFonts w:ascii="Book Antiqua" w:hAnsi="Book Antiqua"/>
          <w:i/>
          <w:szCs w:val="24"/>
        </w:rPr>
        <w:t>“the bag of the present invention is advantageous as it allows a linked round to be both easily carried and to be used in a simple and str</w:t>
      </w:r>
      <w:r w:rsidR="00214C47" w:rsidRPr="00E54EEB">
        <w:rPr>
          <w:rFonts w:ascii="Book Antiqua" w:hAnsi="Book Antiqua"/>
          <w:i/>
          <w:szCs w:val="24"/>
        </w:rPr>
        <w:t xml:space="preserve">aightforward manner when needed... After the end of the linked round has been fed into the firearm </w:t>
      </w:r>
      <w:r w:rsidR="00214C47" w:rsidRPr="003B4E3C">
        <w:rPr>
          <w:rFonts w:ascii="Book Antiqua" w:hAnsi="Book Antiqua"/>
          <w:i/>
          <w:szCs w:val="24"/>
          <w:u w:val="single"/>
        </w:rPr>
        <w:t>the firearm can be used without the need to further remove the linked round from the sleeve. This is possible due to the shape of the sleeve and the positioning of the linked round within the sleeve. In particular, as the linked round is fed into the firearm it will be pulled out of the sleeve from the opening</w:t>
      </w:r>
      <w:r w:rsidR="00214C47" w:rsidRPr="00E54EEB">
        <w:rPr>
          <w:rFonts w:ascii="Book Antiqua" w:hAnsi="Book Antiqua"/>
          <w:i/>
          <w:szCs w:val="24"/>
        </w:rPr>
        <w:t>. As all of the bullets in the linked round are parallel to the width of the sleeve and the linked round extends along a length of the sleeve, it can be quickly and easily pulled out of the sleeve without snagging”</w:t>
      </w:r>
      <w:r>
        <w:rPr>
          <w:rFonts w:ascii="Book Antiqua" w:hAnsi="Book Antiqua"/>
          <w:i/>
          <w:szCs w:val="24"/>
        </w:rPr>
        <w:t xml:space="preserve"> </w:t>
      </w:r>
      <w:r w:rsidRPr="003B4E3C">
        <w:rPr>
          <w:rFonts w:ascii="Book Antiqua" w:hAnsi="Book Antiqua"/>
          <w:szCs w:val="24"/>
        </w:rPr>
        <w:t>(my emphasis)</w:t>
      </w:r>
      <w:r w:rsidR="00FA363B" w:rsidRPr="003B4E3C">
        <w:rPr>
          <w:rFonts w:ascii="Book Antiqua" w:hAnsi="Book Antiqua"/>
          <w:szCs w:val="24"/>
        </w:rPr>
        <w:t>.</w:t>
      </w:r>
      <w:r w:rsidR="00FA363B">
        <w:rPr>
          <w:rFonts w:ascii="Book Antiqua" w:hAnsi="Book Antiqua"/>
          <w:szCs w:val="24"/>
        </w:rPr>
        <w:t xml:space="preserve"> </w:t>
      </w:r>
    </w:p>
    <w:p w14:paraId="3E98CACB" w14:textId="26D8DB7A" w:rsidR="00A02A04" w:rsidRPr="00A02A04" w:rsidRDefault="00FC4D0E" w:rsidP="009E4653">
      <w:pPr>
        <w:pStyle w:val="ParaLevel1"/>
        <w:rPr>
          <w:rFonts w:ascii="Book Antiqua" w:hAnsi="Book Antiqua"/>
          <w:szCs w:val="24"/>
        </w:rPr>
      </w:pPr>
      <w:r>
        <w:rPr>
          <w:rFonts w:ascii="Book Antiqua" w:hAnsi="Book Antiqua"/>
          <w:szCs w:val="24"/>
        </w:rPr>
        <w:t>Mr Longstaff for Source warns of the danger of defining the in</w:t>
      </w:r>
      <w:r w:rsidR="005E1940">
        <w:rPr>
          <w:rFonts w:ascii="Book Antiqua" w:hAnsi="Book Antiqua"/>
          <w:szCs w:val="24"/>
        </w:rPr>
        <w:t>ventive concept at too high a level of generality</w:t>
      </w:r>
      <w:r w:rsidR="00770C3C">
        <w:rPr>
          <w:rFonts w:ascii="Book Antiqua" w:hAnsi="Book Antiqua"/>
          <w:szCs w:val="24"/>
        </w:rPr>
        <w:t>.</w:t>
      </w:r>
      <w:r w:rsidR="00962834">
        <w:rPr>
          <w:rFonts w:ascii="Book Antiqua" w:hAnsi="Book Antiqua"/>
          <w:szCs w:val="24"/>
        </w:rPr>
        <w:t xml:space="preserve"> He submits that Excel’s pleaded case that </w:t>
      </w:r>
      <w:r w:rsidR="00962834" w:rsidRPr="00937E0A">
        <w:rPr>
          <w:rFonts w:ascii="Book Antiqua" w:hAnsi="Book Antiqua"/>
          <w:i/>
          <w:szCs w:val="24"/>
        </w:rPr>
        <w:t xml:space="preserve">“the invention allows, inter alia, a linked round to be used without the need to completely remove the round before starting firing in order, inter alia, to prevent dirt or dust impregnating the round (“the </w:t>
      </w:r>
      <w:r w:rsidR="00962834" w:rsidRPr="00937E0A">
        <w:rPr>
          <w:rFonts w:ascii="Book Antiqua" w:hAnsi="Book Antiqua"/>
          <w:b/>
          <w:i/>
          <w:szCs w:val="24"/>
        </w:rPr>
        <w:t>Invention</w:t>
      </w:r>
      <w:r w:rsidR="00962834" w:rsidRPr="00937E0A">
        <w:rPr>
          <w:rFonts w:ascii="Book Antiqua" w:hAnsi="Book Antiqua"/>
          <w:i/>
          <w:szCs w:val="24"/>
        </w:rPr>
        <w:t>”)”</w:t>
      </w:r>
      <w:r w:rsidR="003B4E3C">
        <w:rPr>
          <w:rFonts w:ascii="Book Antiqua" w:hAnsi="Book Antiqua"/>
          <w:szCs w:val="24"/>
        </w:rPr>
        <w:t xml:space="preserve"> </w:t>
      </w:r>
      <w:r w:rsidR="00962834">
        <w:rPr>
          <w:rFonts w:ascii="Book Antiqua" w:hAnsi="Book Antiqua"/>
          <w:szCs w:val="24"/>
        </w:rPr>
        <w:t xml:space="preserve">is an extremely general statement that </w:t>
      </w:r>
      <w:r w:rsidR="00937E0A">
        <w:rPr>
          <w:rFonts w:ascii="Book Antiqua" w:hAnsi="Book Antiqua"/>
          <w:szCs w:val="24"/>
        </w:rPr>
        <w:t xml:space="preserve">refers </w:t>
      </w:r>
      <w:r w:rsidR="003B4E3C">
        <w:rPr>
          <w:rFonts w:ascii="Book Antiqua" w:hAnsi="Book Antiqua"/>
          <w:szCs w:val="24"/>
        </w:rPr>
        <w:t xml:space="preserve">only </w:t>
      </w:r>
      <w:r w:rsidR="00CE1C18">
        <w:rPr>
          <w:rFonts w:ascii="Book Antiqua" w:hAnsi="Book Antiqua"/>
          <w:szCs w:val="24"/>
        </w:rPr>
        <w:t>in part to the wording</w:t>
      </w:r>
      <w:r w:rsidR="003B4E3C">
        <w:rPr>
          <w:rFonts w:ascii="Book Antiqua" w:hAnsi="Book Antiqua"/>
          <w:szCs w:val="24"/>
        </w:rPr>
        <w:t xml:space="preserve"> I have highlighted in </w:t>
      </w:r>
      <w:r w:rsidR="00937E0A">
        <w:rPr>
          <w:rFonts w:ascii="Book Antiqua" w:hAnsi="Book Antiqua"/>
          <w:szCs w:val="24"/>
        </w:rPr>
        <w:t>Claim 1. He submits that this is a statement about what the invention is said to allow rather than what it actually is, and what the invention actually is can only sensibly be determined by reference to the patent itself and the claims. To do so</w:t>
      </w:r>
      <w:r w:rsidR="00BB4296">
        <w:rPr>
          <w:rFonts w:ascii="Book Antiqua" w:hAnsi="Book Antiqua"/>
          <w:szCs w:val="24"/>
        </w:rPr>
        <w:t>, he submits,</w:t>
      </w:r>
      <w:r w:rsidR="00937E0A">
        <w:rPr>
          <w:rFonts w:ascii="Book Antiqua" w:hAnsi="Book Antiqua"/>
          <w:szCs w:val="24"/>
        </w:rPr>
        <w:t xml:space="preserve"> inevitably highlights the importance of the </w:t>
      </w:r>
      <w:r w:rsidR="00937E0A" w:rsidRPr="00937E0A">
        <w:rPr>
          <w:rFonts w:ascii="Book Antiqua" w:hAnsi="Book Antiqua"/>
          <w:i/>
          <w:szCs w:val="24"/>
        </w:rPr>
        <w:t>“openable closure”.</w:t>
      </w:r>
      <w:r w:rsidR="00937E0A">
        <w:rPr>
          <w:rFonts w:ascii="Book Antiqua" w:hAnsi="Book Antiqua"/>
          <w:i/>
          <w:szCs w:val="24"/>
        </w:rPr>
        <w:t xml:space="preserve"> </w:t>
      </w:r>
      <w:r w:rsidR="00CE1C18" w:rsidRPr="00CE1C18">
        <w:rPr>
          <w:rFonts w:ascii="Book Antiqua" w:hAnsi="Book Antiqua"/>
          <w:szCs w:val="24"/>
        </w:rPr>
        <w:t>This strikes me as a rather circular argument</w:t>
      </w:r>
      <w:r w:rsidR="00E06413">
        <w:rPr>
          <w:rFonts w:ascii="Book Antiqua" w:hAnsi="Book Antiqua"/>
          <w:szCs w:val="24"/>
        </w:rPr>
        <w:t xml:space="preserve">, and one which puts too much weight on the words of the claim and not enough on Art. 2 of the Protocol, which was a mistake that the Supreme Court found that the Court of Appeal had fallen into in </w:t>
      </w:r>
      <w:r w:rsidR="00E06413" w:rsidRPr="00C32BD3">
        <w:rPr>
          <w:rFonts w:ascii="Book Antiqua" w:hAnsi="Book Antiqua"/>
          <w:i/>
          <w:szCs w:val="24"/>
        </w:rPr>
        <w:t>Actavis</w:t>
      </w:r>
      <w:r w:rsidR="00CE1C18" w:rsidRPr="00CE1C18">
        <w:rPr>
          <w:rFonts w:ascii="Book Antiqua" w:hAnsi="Book Antiqua"/>
          <w:szCs w:val="24"/>
        </w:rPr>
        <w:t>.</w:t>
      </w:r>
      <w:r w:rsidR="00CE1C18">
        <w:rPr>
          <w:rFonts w:ascii="Book Antiqua" w:hAnsi="Book Antiqua"/>
          <w:i/>
          <w:szCs w:val="24"/>
        </w:rPr>
        <w:t xml:space="preserve"> </w:t>
      </w:r>
      <w:r w:rsidR="0049400A">
        <w:rPr>
          <w:rFonts w:ascii="Book Antiqua" w:hAnsi="Book Antiqua"/>
          <w:szCs w:val="24"/>
        </w:rPr>
        <w:t>As</w:t>
      </w:r>
      <w:r w:rsidR="00CE1C18">
        <w:rPr>
          <w:rFonts w:ascii="Book Antiqua" w:hAnsi="Book Antiqua"/>
          <w:szCs w:val="24"/>
        </w:rPr>
        <w:t xml:space="preserve"> Lord Neuberger’s reformulated question</w:t>
      </w:r>
      <w:r w:rsidR="00953706">
        <w:rPr>
          <w:rFonts w:ascii="Book Antiqua" w:hAnsi="Book Antiqua"/>
          <w:szCs w:val="24"/>
        </w:rPr>
        <w:t>s make</w:t>
      </w:r>
      <w:r w:rsidR="0049400A">
        <w:rPr>
          <w:rFonts w:ascii="Book Antiqua" w:hAnsi="Book Antiqua"/>
          <w:szCs w:val="24"/>
        </w:rPr>
        <w:t xml:space="preserve"> clear</w:t>
      </w:r>
      <w:r w:rsidR="00CE1C18">
        <w:rPr>
          <w:rFonts w:ascii="Book Antiqua" w:hAnsi="Book Antiqua"/>
          <w:szCs w:val="24"/>
        </w:rPr>
        <w:t xml:space="preserve">, </w:t>
      </w:r>
      <w:r w:rsidR="0049400A">
        <w:rPr>
          <w:rFonts w:ascii="Book Antiqua" w:hAnsi="Book Antiqua"/>
          <w:szCs w:val="24"/>
        </w:rPr>
        <w:t xml:space="preserve">the </w:t>
      </w:r>
      <w:r w:rsidR="0049400A" w:rsidRPr="00C32BD3">
        <w:rPr>
          <w:rFonts w:ascii="Book Antiqua" w:hAnsi="Book Antiqua"/>
          <w:i/>
          <w:szCs w:val="24"/>
        </w:rPr>
        <w:t>Actavis</w:t>
      </w:r>
      <w:r w:rsidR="0049400A">
        <w:rPr>
          <w:rFonts w:ascii="Book Antiqua" w:hAnsi="Book Antiqua"/>
          <w:szCs w:val="24"/>
        </w:rPr>
        <w:t xml:space="preserve"> question</w:t>
      </w:r>
      <w:r w:rsidR="00953706">
        <w:rPr>
          <w:rFonts w:ascii="Book Antiqua" w:hAnsi="Book Antiqua"/>
          <w:szCs w:val="24"/>
        </w:rPr>
        <w:t>s</w:t>
      </w:r>
      <w:r w:rsidR="00CE1C18">
        <w:rPr>
          <w:rFonts w:ascii="Book Antiqua" w:hAnsi="Book Antiqua"/>
          <w:szCs w:val="24"/>
        </w:rPr>
        <w:t xml:space="preserve"> </w:t>
      </w:r>
      <w:r w:rsidR="00953706">
        <w:rPr>
          <w:rFonts w:ascii="Book Antiqua" w:hAnsi="Book Antiqua"/>
          <w:szCs w:val="24"/>
        </w:rPr>
        <w:t>need only</w:t>
      </w:r>
      <w:r w:rsidR="00CE1C18">
        <w:rPr>
          <w:rFonts w:ascii="Book Antiqua" w:hAnsi="Book Antiqua"/>
          <w:szCs w:val="24"/>
        </w:rPr>
        <w:t xml:space="preserve"> be answered if the </w:t>
      </w:r>
      <w:r w:rsidR="00953706">
        <w:rPr>
          <w:rFonts w:ascii="Book Antiqua" w:hAnsi="Book Antiqua"/>
          <w:szCs w:val="24"/>
        </w:rPr>
        <w:t>variant</w:t>
      </w:r>
      <w:r w:rsidR="00CE1C18">
        <w:rPr>
          <w:rFonts w:ascii="Book Antiqua" w:hAnsi="Book Antiqua"/>
          <w:szCs w:val="24"/>
        </w:rPr>
        <w:t xml:space="preserve"> does not fall within the literal interpretation of the Claim</w:t>
      </w:r>
      <w:r w:rsidR="00953706">
        <w:rPr>
          <w:rFonts w:ascii="Book Antiqua" w:hAnsi="Book Antiqua"/>
          <w:szCs w:val="24"/>
        </w:rPr>
        <w:t xml:space="preserve">. We are searching to discover whether, notwithstanding that, the variant nonetheless infringes because it varies in a way or ways that are immaterial. </w:t>
      </w:r>
      <w:r w:rsidR="00E06413">
        <w:rPr>
          <w:rFonts w:ascii="Book Antiqua" w:hAnsi="Book Antiqua"/>
          <w:szCs w:val="24"/>
        </w:rPr>
        <w:t xml:space="preserve">That is the whole point of the doctrine of equivalents. </w:t>
      </w:r>
      <w:r w:rsidR="00953706">
        <w:rPr>
          <w:rFonts w:ascii="Book Antiqua" w:hAnsi="Book Antiqua"/>
          <w:szCs w:val="24"/>
        </w:rPr>
        <w:t xml:space="preserve">The first </w:t>
      </w:r>
      <w:r w:rsidR="00953706" w:rsidRPr="00C32BD3">
        <w:rPr>
          <w:rFonts w:ascii="Book Antiqua" w:hAnsi="Book Antiqua"/>
          <w:i/>
          <w:szCs w:val="24"/>
        </w:rPr>
        <w:t>Actavis</w:t>
      </w:r>
      <w:r w:rsidR="00953706">
        <w:rPr>
          <w:rFonts w:ascii="Book Antiqua" w:hAnsi="Book Antiqua"/>
          <w:szCs w:val="24"/>
        </w:rPr>
        <w:t xml:space="preserve"> question</w:t>
      </w:r>
      <w:r w:rsidR="0049400A">
        <w:rPr>
          <w:rFonts w:ascii="Book Antiqua" w:hAnsi="Book Antiqua"/>
          <w:szCs w:val="24"/>
        </w:rPr>
        <w:t xml:space="preserve"> </w:t>
      </w:r>
      <w:r w:rsidR="00CE1C18">
        <w:rPr>
          <w:rFonts w:ascii="Book Antiqua" w:hAnsi="Book Antiqua"/>
          <w:szCs w:val="24"/>
        </w:rPr>
        <w:t xml:space="preserve">requires the court to look beyond the wording of the claim itself to the </w:t>
      </w:r>
      <w:r w:rsidR="0049400A">
        <w:rPr>
          <w:rFonts w:ascii="Book Antiqua" w:hAnsi="Book Antiqua"/>
          <w:szCs w:val="24"/>
        </w:rPr>
        <w:t>problem underlying the invention and the inventive core (per</w:t>
      </w:r>
      <w:r w:rsidR="00E06413">
        <w:rPr>
          <w:rFonts w:ascii="Book Antiqua" w:hAnsi="Book Antiqua"/>
          <w:szCs w:val="24"/>
        </w:rPr>
        <w:t xml:space="preserve"> Floyd LJ at [72] of </w:t>
      </w:r>
      <w:r w:rsidR="00E06413" w:rsidRPr="00C32BD3">
        <w:rPr>
          <w:rFonts w:ascii="Book Antiqua" w:hAnsi="Book Antiqua"/>
          <w:i/>
          <w:szCs w:val="24"/>
        </w:rPr>
        <w:t>Icescape</w:t>
      </w:r>
      <w:r w:rsidR="00E06413">
        <w:rPr>
          <w:rFonts w:ascii="Book Antiqua" w:hAnsi="Book Antiqua"/>
          <w:szCs w:val="24"/>
        </w:rPr>
        <w:t>).</w:t>
      </w:r>
    </w:p>
    <w:p w14:paraId="052B47F8" w14:textId="7254162A" w:rsidR="00770C3C" w:rsidRPr="00A02A04" w:rsidRDefault="00A02A04" w:rsidP="009E4653">
      <w:pPr>
        <w:pStyle w:val="ParaLevel1"/>
        <w:rPr>
          <w:rFonts w:ascii="Book Antiqua" w:hAnsi="Book Antiqua"/>
          <w:szCs w:val="24"/>
        </w:rPr>
      </w:pPr>
      <w:r w:rsidRPr="00A02A04">
        <w:rPr>
          <w:rFonts w:ascii="Book Antiqua" w:hAnsi="Book Antiqua"/>
          <w:szCs w:val="24"/>
        </w:rPr>
        <w:t xml:space="preserve">Mr Longstaff for Source </w:t>
      </w:r>
      <w:r w:rsidR="00937E0A" w:rsidRPr="00A02A04">
        <w:rPr>
          <w:rFonts w:ascii="Book Antiqua" w:hAnsi="Book Antiqua"/>
          <w:szCs w:val="24"/>
        </w:rPr>
        <w:t xml:space="preserve">submits that a review of the specification </w:t>
      </w:r>
      <w:r w:rsidRPr="00A02A04">
        <w:rPr>
          <w:rFonts w:ascii="Book Antiqua" w:hAnsi="Book Antiqua"/>
          <w:szCs w:val="24"/>
        </w:rPr>
        <w:t>also highlights this importance, by showing that the function of the openable closure (to correctly arra</w:t>
      </w:r>
      <w:r w:rsidR="006B4AD0">
        <w:rPr>
          <w:rFonts w:ascii="Book Antiqua" w:hAnsi="Book Antiqua"/>
          <w:szCs w:val="24"/>
        </w:rPr>
        <w:t>nge the linked rounds) is insepa</w:t>
      </w:r>
      <w:r w:rsidRPr="00A02A04">
        <w:rPr>
          <w:rFonts w:ascii="Book Antiqua" w:hAnsi="Book Antiqua"/>
          <w:szCs w:val="24"/>
        </w:rPr>
        <w:t>rable from the intended function of the invention (allowing the linked round to be</w:t>
      </w:r>
      <w:r w:rsidR="00E06413">
        <w:rPr>
          <w:rFonts w:ascii="Book Antiqua" w:hAnsi="Book Antiqua"/>
          <w:szCs w:val="24"/>
        </w:rPr>
        <w:t xml:space="preserve"> pulled out without snagging). He submits that t</w:t>
      </w:r>
      <w:r w:rsidRPr="00A02A04">
        <w:rPr>
          <w:rFonts w:ascii="Book Antiqua" w:hAnsi="Book Antiqua"/>
          <w:szCs w:val="24"/>
        </w:rPr>
        <w:t>o excise the openable closure from the inventive concept is an unjustified generalisation.</w:t>
      </w:r>
      <w:r w:rsidR="00953706">
        <w:rPr>
          <w:rFonts w:ascii="Book Antiqua" w:hAnsi="Book Antiqua"/>
          <w:szCs w:val="24"/>
        </w:rPr>
        <w:t xml:space="preserve"> </w:t>
      </w:r>
    </w:p>
    <w:p w14:paraId="26626675" w14:textId="1D3707F8" w:rsidR="00D53409" w:rsidRPr="009D1DF1" w:rsidRDefault="00E06413" w:rsidP="009E4653">
      <w:pPr>
        <w:pStyle w:val="ParaLevel1"/>
        <w:rPr>
          <w:rFonts w:ascii="Book Antiqua" w:hAnsi="Book Antiqua"/>
          <w:szCs w:val="24"/>
        </w:rPr>
      </w:pPr>
      <w:r>
        <w:rPr>
          <w:rFonts w:ascii="Book Antiqua" w:hAnsi="Book Antiqua"/>
          <w:szCs w:val="24"/>
        </w:rPr>
        <w:t>Connected with this is Source’s</w:t>
      </w:r>
      <w:r w:rsidR="00953706">
        <w:rPr>
          <w:rFonts w:ascii="Book Antiqua" w:hAnsi="Book Antiqua"/>
          <w:szCs w:val="24"/>
        </w:rPr>
        <w:t xml:space="preserve"> further</w:t>
      </w:r>
      <w:r w:rsidR="00D53409" w:rsidRPr="009D1DF1">
        <w:rPr>
          <w:rFonts w:ascii="Book Antiqua" w:hAnsi="Book Antiqua"/>
          <w:szCs w:val="24"/>
        </w:rPr>
        <w:t xml:space="preserve"> </w:t>
      </w:r>
      <w:r>
        <w:rPr>
          <w:rFonts w:ascii="Book Antiqua" w:hAnsi="Book Antiqua"/>
          <w:szCs w:val="24"/>
        </w:rPr>
        <w:t>submission</w:t>
      </w:r>
      <w:r w:rsidR="00D53409" w:rsidRPr="009D1DF1">
        <w:rPr>
          <w:rFonts w:ascii="Book Antiqua" w:hAnsi="Book Antiqua"/>
          <w:szCs w:val="24"/>
        </w:rPr>
        <w:t xml:space="preserve"> that the patent teaches only a single method of loading the bag – by horizon</w:t>
      </w:r>
      <w:r w:rsidR="00B054F3">
        <w:rPr>
          <w:rFonts w:ascii="Book Antiqua" w:hAnsi="Book Antiqua"/>
          <w:szCs w:val="24"/>
        </w:rPr>
        <w:t>tal flaking of the round, brass-to-</w:t>
      </w:r>
      <w:r w:rsidR="00D53409" w:rsidRPr="009D1DF1">
        <w:rPr>
          <w:rFonts w:ascii="Book Antiqua" w:hAnsi="Book Antiqua"/>
          <w:szCs w:val="24"/>
        </w:rPr>
        <w:t xml:space="preserve">brass, through the openable closure, and this is part of the inventive concept. </w:t>
      </w:r>
      <w:r w:rsidR="00401481">
        <w:rPr>
          <w:rFonts w:ascii="Book Antiqua" w:hAnsi="Book Antiqua"/>
          <w:szCs w:val="24"/>
        </w:rPr>
        <w:t>Source</w:t>
      </w:r>
      <w:r w:rsidR="00D53409" w:rsidRPr="009D1DF1">
        <w:rPr>
          <w:rFonts w:ascii="Book Antiqua" w:hAnsi="Book Antiqua"/>
          <w:szCs w:val="24"/>
        </w:rPr>
        <w:t xml:space="preserve"> acknowledges </w:t>
      </w:r>
      <w:r w:rsidR="00401481">
        <w:rPr>
          <w:rFonts w:ascii="Book Antiqua" w:hAnsi="Book Antiqua"/>
          <w:szCs w:val="24"/>
        </w:rPr>
        <w:t xml:space="preserve">and accepts </w:t>
      </w:r>
      <w:r w:rsidR="00D53409" w:rsidRPr="009D1DF1">
        <w:rPr>
          <w:rFonts w:ascii="Book Antiqua" w:hAnsi="Book Antiqua"/>
          <w:szCs w:val="24"/>
        </w:rPr>
        <w:t>Mr Maclean</w:t>
      </w:r>
      <w:r w:rsidR="00953706">
        <w:rPr>
          <w:rFonts w:ascii="Book Antiqua" w:hAnsi="Book Antiqua"/>
          <w:szCs w:val="24"/>
        </w:rPr>
        <w:t>’s</w:t>
      </w:r>
      <w:r w:rsidR="00D53409" w:rsidRPr="009D1DF1">
        <w:rPr>
          <w:rFonts w:ascii="Book Antiqua" w:hAnsi="Book Antiqua"/>
          <w:szCs w:val="24"/>
        </w:rPr>
        <w:t xml:space="preserve"> </w:t>
      </w:r>
      <w:r w:rsidR="00953706">
        <w:rPr>
          <w:rFonts w:ascii="Book Antiqua" w:hAnsi="Book Antiqua"/>
          <w:szCs w:val="24"/>
        </w:rPr>
        <w:t>statement</w:t>
      </w:r>
      <w:r w:rsidR="00D53409" w:rsidRPr="009D1DF1">
        <w:rPr>
          <w:rFonts w:ascii="Book Antiqua" w:hAnsi="Book Antiqua"/>
          <w:szCs w:val="24"/>
        </w:rPr>
        <w:t xml:space="preserve"> at paragraph 22 of his witness statement that the links can be pre-folded and dropped in through the top of the bag,</w:t>
      </w:r>
      <w:r w:rsidR="00237DFF" w:rsidRPr="009D1DF1">
        <w:rPr>
          <w:rFonts w:ascii="Book Antiqua" w:hAnsi="Book Antiqua"/>
          <w:szCs w:val="24"/>
        </w:rPr>
        <w:t xml:space="preserve"> i.e. without using the openable closure,</w:t>
      </w:r>
      <w:r w:rsidR="00D53409" w:rsidRPr="009D1DF1">
        <w:rPr>
          <w:rFonts w:ascii="Book Antiqua" w:hAnsi="Book Antiqua"/>
          <w:szCs w:val="24"/>
        </w:rPr>
        <w:t xml:space="preserve"> but </w:t>
      </w:r>
      <w:r w:rsidR="00401481">
        <w:rPr>
          <w:rFonts w:ascii="Book Antiqua" w:hAnsi="Book Antiqua"/>
          <w:szCs w:val="24"/>
        </w:rPr>
        <w:t xml:space="preserve">Mr Longstaff </w:t>
      </w:r>
      <w:r w:rsidR="00237DFF" w:rsidRPr="009D1DF1">
        <w:rPr>
          <w:rFonts w:ascii="Book Antiqua" w:hAnsi="Book Antiqua"/>
          <w:szCs w:val="24"/>
        </w:rPr>
        <w:t xml:space="preserve">submits </w:t>
      </w:r>
      <w:r w:rsidR="00D53409" w:rsidRPr="009D1DF1">
        <w:rPr>
          <w:rFonts w:ascii="Book Antiqua" w:hAnsi="Book Antiqua"/>
          <w:szCs w:val="24"/>
        </w:rPr>
        <w:t>that still take</w:t>
      </w:r>
      <w:r w:rsidR="00B054F3">
        <w:rPr>
          <w:rFonts w:ascii="Book Antiqua" w:hAnsi="Book Antiqua"/>
          <w:szCs w:val="24"/>
        </w:rPr>
        <w:t>s the horizontal flaking, brass-on-</w:t>
      </w:r>
      <w:r w:rsidR="00D53409" w:rsidRPr="009D1DF1">
        <w:rPr>
          <w:rFonts w:ascii="Book Antiqua" w:hAnsi="Book Antiqua"/>
          <w:szCs w:val="24"/>
        </w:rPr>
        <w:t>brass approach</w:t>
      </w:r>
      <w:r w:rsidR="00401481">
        <w:rPr>
          <w:rFonts w:ascii="Book Antiqua" w:hAnsi="Book Antiqua"/>
          <w:szCs w:val="24"/>
        </w:rPr>
        <w:t xml:space="preserve">, which </w:t>
      </w:r>
      <w:r w:rsidR="00D53409" w:rsidRPr="009D1DF1">
        <w:rPr>
          <w:rFonts w:ascii="Book Antiqua" w:hAnsi="Book Antiqua"/>
          <w:szCs w:val="24"/>
        </w:rPr>
        <w:t>requires an adjustment strap to prevent the layers slum</w:t>
      </w:r>
      <w:r w:rsidR="00237DFF" w:rsidRPr="009D1DF1">
        <w:rPr>
          <w:rFonts w:ascii="Book Antiqua" w:hAnsi="Book Antiqua"/>
          <w:szCs w:val="24"/>
        </w:rPr>
        <w:t>ping to the bottom of the bag. Source submits that t</w:t>
      </w:r>
      <w:r w:rsidR="00D53409" w:rsidRPr="009D1DF1">
        <w:rPr>
          <w:rFonts w:ascii="Book Antiqua" w:hAnsi="Book Antiqua"/>
          <w:szCs w:val="24"/>
        </w:rPr>
        <w:t xml:space="preserve">he 2017 Bag </w:t>
      </w:r>
      <w:r w:rsidR="00237DFF" w:rsidRPr="009D1DF1">
        <w:rPr>
          <w:rFonts w:ascii="Book Antiqua" w:hAnsi="Book Antiqua"/>
          <w:szCs w:val="24"/>
        </w:rPr>
        <w:t xml:space="preserve">is designed </w:t>
      </w:r>
      <w:r w:rsidR="006B4AD0">
        <w:rPr>
          <w:rFonts w:ascii="Book Antiqua" w:hAnsi="Book Antiqua"/>
          <w:szCs w:val="24"/>
        </w:rPr>
        <w:t xml:space="preserve">specifically </w:t>
      </w:r>
      <w:r w:rsidR="00237DFF" w:rsidRPr="009D1DF1">
        <w:rPr>
          <w:rFonts w:ascii="Book Antiqua" w:hAnsi="Book Antiqua"/>
          <w:szCs w:val="24"/>
        </w:rPr>
        <w:t>to use</w:t>
      </w:r>
      <w:r w:rsidR="00D53409" w:rsidRPr="009D1DF1">
        <w:rPr>
          <w:rFonts w:ascii="Book Antiqua" w:hAnsi="Book Antiqua"/>
          <w:szCs w:val="24"/>
        </w:rPr>
        <w:t xml:space="preserve"> a different method of loading from the top and flaking the links vertically, in a concertina shape. It does not require the adjustment strap, as the links are already slumped to the bottom of the bag</w:t>
      </w:r>
      <w:r w:rsidR="00237DFF" w:rsidRPr="009D1DF1">
        <w:rPr>
          <w:rFonts w:ascii="Book Antiqua" w:hAnsi="Book Antiqua"/>
          <w:szCs w:val="24"/>
        </w:rPr>
        <w:t>.</w:t>
      </w:r>
      <w:r w:rsidR="00D53409" w:rsidRPr="009D1DF1">
        <w:rPr>
          <w:rFonts w:ascii="Book Antiqua" w:hAnsi="Book Antiqua"/>
          <w:szCs w:val="24"/>
        </w:rPr>
        <w:t xml:space="preserve"> </w:t>
      </w:r>
      <w:r w:rsidR="00237DFF" w:rsidRPr="009D1DF1">
        <w:rPr>
          <w:rFonts w:ascii="Book Antiqua" w:hAnsi="Book Antiqua"/>
          <w:szCs w:val="24"/>
        </w:rPr>
        <w:t>Nonetheless</w:t>
      </w:r>
      <w:r w:rsidR="00D53409" w:rsidRPr="009D1DF1">
        <w:rPr>
          <w:rFonts w:ascii="Book Antiqua" w:hAnsi="Book Antiqua"/>
          <w:szCs w:val="24"/>
        </w:rPr>
        <w:t xml:space="preserve"> it still spools out</w:t>
      </w:r>
      <w:r w:rsidR="00237DFF" w:rsidRPr="009D1DF1">
        <w:rPr>
          <w:rFonts w:ascii="Book Antiqua" w:hAnsi="Book Antiqua"/>
          <w:szCs w:val="24"/>
        </w:rPr>
        <w:t xml:space="preserve"> without snagging</w:t>
      </w:r>
      <w:r w:rsidR="00D53409" w:rsidRPr="009D1DF1">
        <w:rPr>
          <w:rFonts w:ascii="Book Antiqua" w:hAnsi="Book Antiqua"/>
          <w:szCs w:val="24"/>
        </w:rPr>
        <w:t>. All it needs is for the first round to be secured by the loop towards the top opening.</w:t>
      </w:r>
    </w:p>
    <w:p w14:paraId="28015F7C" w14:textId="1CC89CAF" w:rsidR="00D53409" w:rsidRPr="009D1DF1" w:rsidRDefault="00D53409" w:rsidP="009E4653">
      <w:pPr>
        <w:pStyle w:val="ParaLevel1"/>
        <w:rPr>
          <w:rFonts w:ascii="Book Antiqua" w:hAnsi="Book Antiqua"/>
          <w:szCs w:val="24"/>
        </w:rPr>
      </w:pPr>
      <w:r w:rsidRPr="009D1DF1">
        <w:rPr>
          <w:rFonts w:ascii="Book Antiqua" w:hAnsi="Book Antiqua"/>
          <w:szCs w:val="24"/>
        </w:rPr>
        <w:t xml:space="preserve">Source’s position </w:t>
      </w:r>
      <w:r w:rsidR="006B4AD0">
        <w:rPr>
          <w:rFonts w:ascii="Book Antiqua" w:hAnsi="Book Antiqua"/>
          <w:szCs w:val="24"/>
        </w:rPr>
        <w:t>was</w:t>
      </w:r>
      <w:r w:rsidRPr="009D1DF1">
        <w:rPr>
          <w:rFonts w:ascii="Book Antiqua" w:hAnsi="Book Antiqua"/>
          <w:szCs w:val="24"/>
        </w:rPr>
        <w:t xml:space="preserve"> summarised </w:t>
      </w:r>
      <w:r w:rsidR="006B4AD0">
        <w:rPr>
          <w:rFonts w:ascii="Book Antiqua" w:hAnsi="Book Antiqua"/>
          <w:szCs w:val="24"/>
        </w:rPr>
        <w:t xml:space="preserve">by Mr Longstaff in closing </w:t>
      </w:r>
      <w:r w:rsidRPr="009D1DF1">
        <w:rPr>
          <w:rFonts w:ascii="Book Antiqua" w:hAnsi="Book Antiqua"/>
          <w:szCs w:val="24"/>
        </w:rPr>
        <w:t xml:space="preserve">as follows – “plug and play” is not the way the invention is achieved, but the end result of it. The openable closure is necessary for horizontal loading of the links and GB’116 teaches no other method. It is an essential part of the patent, and for that reason the 2017 Bag does not infringe. </w:t>
      </w:r>
    </w:p>
    <w:p w14:paraId="04593756" w14:textId="4C32D897" w:rsidR="00401481" w:rsidRPr="00401481" w:rsidRDefault="00237DFF" w:rsidP="009E4653">
      <w:pPr>
        <w:pStyle w:val="ParaLevel1"/>
        <w:rPr>
          <w:rFonts w:ascii="Book Antiqua" w:hAnsi="Book Antiqua"/>
          <w:szCs w:val="24"/>
        </w:rPr>
      </w:pPr>
      <w:r w:rsidRPr="009D1DF1">
        <w:rPr>
          <w:rFonts w:ascii="Book Antiqua" w:hAnsi="Book Antiqua"/>
          <w:szCs w:val="24"/>
        </w:rPr>
        <w:t xml:space="preserve">I am not with Source. </w:t>
      </w:r>
      <w:r w:rsidR="003F2909">
        <w:rPr>
          <w:rFonts w:ascii="Book Antiqua" w:hAnsi="Book Antiqua"/>
          <w:szCs w:val="24"/>
        </w:rPr>
        <w:t xml:space="preserve">Firstly, although </w:t>
      </w:r>
      <w:r w:rsidR="0009534B">
        <w:rPr>
          <w:rFonts w:ascii="Book Antiqua" w:hAnsi="Book Antiqua"/>
          <w:szCs w:val="24"/>
        </w:rPr>
        <w:t>Mr Longstaff</w:t>
      </w:r>
      <w:r w:rsidR="003F2909">
        <w:rPr>
          <w:rFonts w:ascii="Book Antiqua" w:hAnsi="Book Antiqua"/>
          <w:szCs w:val="24"/>
        </w:rPr>
        <w:t xml:space="preserve"> makes strong submissions about the sufficiency of Claim 1</w:t>
      </w:r>
      <w:r w:rsidR="00AF16DE">
        <w:rPr>
          <w:rFonts w:ascii="Book Antiqua" w:hAnsi="Book Antiqua"/>
          <w:szCs w:val="24"/>
        </w:rPr>
        <w:t xml:space="preserve"> to disclose any invention, </w:t>
      </w:r>
      <w:r w:rsidR="00382F41">
        <w:rPr>
          <w:rFonts w:ascii="Book Antiqua" w:hAnsi="Book Antiqua"/>
          <w:szCs w:val="24"/>
        </w:rPr>
        <w:t xml:space="preserve">and relies on the IPO’s preliminary report to support those submissions, </w:t>
      </w:r>
      <w:r w:rsidR="00AF16DE">
        <w:rPr>
          <w:rFonts w:ascii="Book Antiqua" w:hAnsi="Book Antiqua"/>
          <w:szCs w:val="24"/>
        </w:rPr>
        <w:t xml:space="preserve">for the purposes of this exercise I am assuming the validity of GB’116. Accordingly I must accept for these proceedings that there is an inventive concept and so identify it. </w:t>
      </w:r>
    </w:p>
    <w:p w14:paraId="75609429" w14:textId="2BCA5EC7" w:rsidR="00D53409" w:rsidRPr="009D1DF1" w:rsidRDefault="0009534B" w:rsidP="009E4653">
      <w:pPr>
        <w:pStyle w:val="ParaLevel1"/>
        <w:rPr>
          <w:rFonts w:ascii="Book Antiqua" w:hAnsi="Book Antiqua"/>
          <w:szCs w:val="24"/>
        </w:rPr>
      </w:pPr>
      <w:r>
        <w:rPr>
          <w:rFonts w:ascii="Book Antiqua" w:hAnsi="Book Antiqua"/>
          <w:szCs w:val="24"/>
        </w:rPr>
        <w:t>In my judg</w:t>
      </w:r>
      <w:r w:rsidR="00C32BD3">
        <w:rPr>
          <w:rFonts w:ascii="Book Antiqua" w:hAnsi="Book Antiqua"/>
          <w:szCs w:val="24"/>
        </w:rPr>
        <w:t>ment, the inventive core, or ‘the clever bit’</w:t>
      </w:r>
      <w:r w:rsidR="00AF16DE">
        <w:rPr>
          <w:rFonts w:ascii="Book Antiqua" w:hAnsi="Book Antiqua"/>
          <w:szCs w:val="24"/>
        </w:rPr>
        <w:t xml:space="preserve"> (to paraphrase counsel for</w:t>
      </w:r>
      <w:r>
        <w:rPr>
          <w:rFonts w:ascii="Book Antiqua" w:hAnsi="Book Antiqua"/>
          <w:szCs w:val="24"/>
        </w:rPr>
        <w:t xml:space="preserve"> the Claimant in</w:t>
      </w:r>
      <w:r w:rsidR="00AF16DE">
        <w:rPr>
          <w:rFonts w:ascii="Book Antiqua" w:hAnsi="Book Antiqua"/>
          <w:szCs w:val="24"/>
        </w:rPr>
        <w:t xml:space="preserve"> </w:t>
      </w:r>
      <w:r w:rsidR="00AF16DE" w:rsidRPr="0009534B">
        <w:rPr>
          <w:rFonts w:ascii="Book Antiqua" w:hAnsi="Book Antiqua"/>
          <w:i/>
          <w:szCs w:val="24"/>
        </w:rPr>
        <w:t xml:space="preserve">E. Mishan &amp; Sons Inc t/a Emson v Hozelock Limited &amp; Ors </w:t>
      </w:r>
      <w:r w:rsidR="00AF16DE">
        <w:rPr>
          <w:rFonts w:ascii="Book Antiqua" w:hAnsi="Book Antiqua"/>
          <w:szCs w:val="24"/>
        </w:rPr>
        <w:t>[2019] EWHC 991 (Pat)</w:t>
      </w:r>
      <w:r w:rsidR="0086194E">
        <w:rPr>
          <w:rFonts w:ascii="Book Antiqua" w:hAnsi="Book Antiqua"/>
          <w:szCs w:val="24"/>
        </w:rPr>
        <w:t>)</w:t>
      </w:r>
      <w:r w:rsidR="00237DFF" w:rsidRPr="009D1DF1">
        <w:rPr>
          <w:rFonts w:ascii="Book Antiqua" w:hAnsi="Book Antiqua"/>
          <w:szCs w:val="24"/>
        </w:rPr>
        <w:t xml:space="preserve">, is </w:t>
      </w:r>
      <w:r w:rsidR="00401481">
        <w:rPr>
          <w:rFonts w:ascii="Book Antiqua" w:hAnsi="Book Antiqua"/>
          <w:szCs w:val="24"/>
        </w:rPr>
        <w:t>the ‘plug and play’ aspect of the ammunition bag</w:t>
      </w:r>
      <w:r w:rsidR="00697269">
        <w:rPr>
          <w:rFonts w:ascii="Book Antiqua" w:hAnsi="Book Antiqua"/>
          <w:szCs w:val="24"/>
        </w:rPr>
        <w:t xml:space="preserve">, as Excel submits. </w:t>
      </w:r>
      <w:r w:rsidR="004D64E5">
        <w:rPr>
          <w:rFonts w:ascii="Book Antiqua" w:hAnsi="Book Antiqua"/>
          <w:szCs w:val="24"/>
        </w:rPr>
        <w:t>This solves the problem that Mr Maclean turned his mind to: namely</w:t>
      </w:r>
      <w:r w:rsidR="00382F41">
        <w:rPr>
          <w:rFonts w:ascii="Book Antiqua" w:hAnsi="Book Antiqua"/>
          <w:szCs w:val="24"/>
        </w:rPr>
        <w:t xml:space="preserve"> </w:t>
      </w:r>
      <w:r w:rsidR="004D64E5">
        <w:rPr>
          <w:rFonts w:ascii="Book Antiqua" w:hAnsi="Book Antiqua"/>
          <w:szCs w:val="24"/>
        </w:rPr>
        <w:t>how to</w:t>
      </w:r>
      <w:r w:rsidR="00382F41">
        <w:rPr>
          <w:rFonts w:ascii="Book Antiqua" w:hAnsi="Book Antiqua"/>
          <w:szCs w:val="24"/>
        </w:rPr>
        <w:t xml:space="preserve"> </w:t>
      </w:r>
      <w:r w:rsidR="004D64E5">
        <w:rPr>
          <w:rFonts w:ascii="Book Antiqua" w:hAnsi="Book Antiqua"/>
          <w:szCs w:val="24"/>
        </w:rPr>
        <w:t>combine</w:t>
      </w:r>
      <w:r w:rsidR="00382F41">
        <w:rPr>
          <w:rFonts w:ascii="Book Antiqua" w:hAnsi="Book Antiqua"/>
          <w:szCs w:val="24"/>
        </w:rPr>
        <w:t xml:space="preserve"> convenient carriage of the ammunition with </w:t>
      </w:r>
      <w:r w:rsidR="00237DFF" w:rsidRPr="009D1DF1">
        <w:rPr>
          <w:rFonts w:ascii="Book Antiqua" w:hAnsi="Book Antiqua"/>
          <w:szCs w:val="24"/>
        </w:rPr>
        <w:t xml:space="preserve">rapid access and use of </w:t>
      </w:r>
      <w:r w:rsidR="00382F41">
        <w:rPr>
          <w:rFonts w:ascii="Book Antiqua" w:hAnsi="Book Antiqua"/>
          <w:szCs w:val="24"/>
        </w:rPr>
        <w:t>it</w:t>
      </w:r>
      <w:r w:rsidR="004D64E5">
        <w:rPr>
          <w:rFonts w:ascii="Book Antiqua" w:hAnsi="Book Antiqua"/>
          <w:szCs w:val="24"/>
        </w:rPr>
        <w:t xml:space="preserve">, such that </w:t>
      </w:r>
      <w:r w:rsidR="004D64E5" w:rsidRPr="009D1DF1">
        <w:rPr>
          <w:rFonts w:ascii="Book Antiqua" w:hAnsi="Book Antiqua"/>
          <w:szCs w:val="24"/>
        </w:rPr>
        <w:t>full round of lin</w:t>
      </w:r>
      <w:r w:rsidR="004D64E5">
        <w:rPr>
          <w:rFonts w:ascii="Book Antiqua" w:hAnsi="Book Antiqua"/>
          <w:szCs w:val="24"/>
        </w:rPr>
        <w:t>ked ammunition can be fired</w:t>
      </w:r>
      <w:r w:rsidR="00382F41">
        <w:rPr>
          <w:rFonts w:ascii="Book Antiqua" w:hAnsi="Book Antiqua"/>
          <w:szCs w:val="24"/>
        </w:rPr>
        <w:t xml:space="preserve"> without </w:t>
      </w:r>
      <w:r w:rsidR="004D64E5">
        <w:rPr>
          <w:rFonts w:ascii="Book Antiqua" w:hAnsi="Book Antiqua"/>
          <w:szCs w:val="24"/>
        </w:rPr>
        <w:t>removing it</w:t>
      </w:r>
      <w:r w:rsidR="00382F41">
        <w:rPr>
          <w:rFonts w:ascii="Book Antiqua" w:hAnsi="Book Antiqua"/>
          <w:szCs w:val="24"/>
        </w:rPr>
        <w:t xml:space="preserve"> from the </w:t>
      </w:r>
      <w:r w:rsidR="004D64E5">
        <w:rPr>
          <w:rFonts w:ascii="Book Antiqua" w:hAnsi="Book Antiqua"/>
          <w:szCs w:val="24"/>
        </w:rPr>
        <w:t xml:space="preserve">protection of the </w:t>
      </w:r>
      <w:r w:rsidR="00382F41">
        <w:rPr>
          <w:rFonts w:ascii="Book Antiqua" w:hAnsi="Book Antiqua"/>
          <w:szCs w:val="24"/>
        </w:rPr>
        <w:t>bag</w:t>
      </w:r>
      <w:r w:rsidR="004D64E5">
        <w:rPr>
          <w:rFonts w:ascii="Book Antiqua" w:hAnsi="Book Antiqua"/>
          <w:szCs w:val="24"/>
        </w:rPr>
        <w:t xml:space="preserve">. The invention does this by the shape and configuration of the bag which </w:t>
      </w:r>
      <w:r w:rsidR="00697269">
        <w:rPr>
          <w:rFonts w:ascii="Book Antiqua" w:hAnsi="Book Antiqua"/>
          <w:szCs w:val="24"/>
        </w:rPr>
        <w:t>is designed to carry, and deliver to the gun,</w:t>
      </w:r>
      <w:r w:rsidR="004D64E5">
        <w:rPr>
          <w:rFonts w:ascii="Book Antiqua" w:hAnsi="Book Antiqua"/>
          <w:szCs w:val="24"/>
        </w:rPr>
        <w:t xml:space="preserve"> linked ammunition folded in a way which allows for spooling out without snagging. </w:t>
      </w:r>
      <w:r w:rsidR="00697269">
        <w:rPr>
          <w:rFonts w:ascii="Book Antiqua" w:hAnsi="Book Antiqua"/>
          <w:szCs w:val="24"/>
        </w:rPr>
        <w:t>In this case, I do not believe it to be disputed that t</w:t>
      </w:r>
      <w:r w:rsidR="00237DFF" w:rsidRPr="009D1DF1">
        <w:rPr>
          <w:rFonts w:ascii="Book Antiqua" w:hAnsi="Book Antiqua"/>
          <w:szCs w:val="24"/>
        </w:rPr>
        <w:t xml:space="preserve">he </w:t>
      </w:r>
      <w:r w:rsidR="00697269">
        <w:rPr>
          <w:rFonts w:ascii="Book Antiqua" w:hAnsi="Book Antiqua"/>
          <w:szCs w:val="24"/>
        </w:rPr>
        <w:t>variant 2017 Bag</w:t>
      </w:r>
      <w:r w:rsidR="00807747" w:rsidRPr="009D1DF1">
        <w:rPr>
          <w:rFonts w:ascii="Book Antiqua" w:hAnsi="Book Antiqua"/>
          <w:szCs w:val="24"/>
        </w:rPr>
        <w:t xml:space="preserve"> </w:t>
      </w:r>
      <w:r w:rsidR="0086194E">
        <w:rPr>
          <w:rFonts w:ascii="Book Antiqua" w:hAnsi="Book Antiqua"/>
          <w:szCs w:val="24"/>
        </w:rPr>
        <w:t>achieves the same result</w:t>
      </w:r>
      <w:r w:rsidR="00697269">
        <w:rPr>
          <w:rFonts w:ascii="Book Antiqua" w:hAnsi="Book Antiqua"/>
          <w:szCs w:val="24"/>
        </w:rPr>
        <w:t xml:space="preserve"> as the invention</w:t>
      </w:r>
      <w:r w:rsidR="0086194E">
        <w:rPr>
          <w:rFonts w:ascii="Book Antiqua" w:hAnsi="Book Antiqua"/>
          <w:szCs w:val="24"/>
        </w:rPr>
        <w:t>.</w:t>
      </w:r>
      <w:r w:rsidR="00697269">
        <w:rPr>
          <w:rFonts w:ascii="Book Antiqua" w:hAnsi="Book Antiqua"/>
          <w:szCs w:val="24"/>
        </w:rPr>
        <w:t xml:space="preserve"> It carries the ammunition, and enables it to be rapidly fired direct from the bag while protecting it from dirt and debris. </w:t>
      </w:r>
      <w:r w:rsidR="008E3CE3" w:rsidRPr="009D1DF1">
        <w:rPr>
          <w:rFonts w:ascii="Book Antiqua" w:hAnsi="Book Antiqua"/>
          <w:szCs w:val="24"/>
        </w:rPr>
        <w:t xml:space="preserve">In </w:t>
      </w:r>
      <w:r w:rsidR="00697269">
        <w:rPr>
          <w:rFonts w:ascii="Book Antiqua" w:hAnsi="Book Antiqua"/>
          <w:szCs w:val="24"/>
        </w:rPr>
        <w:t xml:space="preserve">case there is any dispute, </w:t>
      </w:r>
      <w:r w:rsidR="008E3CE3" w:rsidRPr="009D1DF1">
        <w:rPr>
          <w:rFonts w:ascii="Book Antiqua" w:hAnsi="Book Antiqua"/>
          <w:szCs w:val="24"/>
        </w:rPr>
        <w:t>I consider t</w:t>
      </w:r>
      <w:r w:rsidR="00237DFF" w:rsidRPr="009D1DF1">
        <w:rPr>
          <w:rFonts w:ascii="Book Antiqua" w:hAnsi="Book Antiqua"/>
          <w:szCs w:val="24"/>
        </w:rPr>
        <w:t xml:space="preserve">he </w:t>
      </w:r>
      <w:r w:rsidR="00012EE7" w:rsidRPr="009D1DF1">
        <w:rPr>
          <w:rFonts w:ascii="Book Antiqua" w:hAnsi="Book Antiqua"/>
          <w:szCs w:val="24"/>
        </w:rPr>
        <w:t xml:space="preserve">fact that the 2017 Bag was approved by the MoD as complying with SRD 338 and so able to be substituted </w:t>
      </w:r>
      <w:r w:rsidR="008E3CE3" w:rsidRPr="009D1DF1">
        <w:rPr>
          <w:rFonts w:ascii="Book Antiqua" w:hAnsi="Book Antiqua"/>
          <w:szCs w:val="24"/>
        </w:rPr>
        <w:t xml:space="preserve">by Source </w:t>
      </w:r>
      <w:r w:rsidR="00012EE7" w:rsidRPr="009D1DF1">
        <w:rPr>
          <w:rFonts w:ascii="Book Antiqua" w:hAnsi="Book Antiqua"/>
          <w:szCs w:val="24"/>
        </w:rPr>
        <w:t xml:space="preserve">for the </w:t>
      </w:r>
      <w:r w:rsidR="00927A87">
        <w:rPr>
          <w:rFonts w:ascii="Book Antiqua" w:hAnsi="Book Antiqua"/>
          <w:szCs w:val="24"/>
        </w:rPr>
        <w:t>Source Ammunition Bag</w:t>
      </w:r>
      <w:r w:rsidR="00012EE7" w:rsidRPr="009D1DF1">
        <w:rPr>
          <w:rFonts w:ascii="Book Antiqua" w:hAnsi="Book Antiqua"/>
          <w:szCs w:val="24"/>
        </w:rPr>
        <w:t xml:space="preserve"> in Virtus, is compelling evidence </w:t>
      </w:r>
      <w:r w:rsidR="00697269">
        <w:rPr>
          <w:rFonts w:ascii="Book Antiqua" w:hAnsi="Book Antiqua"/>
          <w:szCs w:val="24"/>
        </w:rPr>
        <w:t>that it achieves the same result, and I so find</w:t>
      </w:r>
      <w:r w:rsidR="00012EE7" w:rsidRPr="009D1DF1">
        <w:rPr>
          <w:rFonts w:ascii="Book Antiqua" w:hAnsi="Book Antiqua"/>
          <w:szCs w:val="24"/>
        </w:rPr>
        <w:t xml:space="preserve">. The </w:t>
      </w:r>
      <w:r w:rsidR="00237DFF" w:rsidRPr="009D1DF1">
        <w:rPr>
          <w:rFonts w:ascii="Book Antiqua" w:hAnsi="Book Antiqua"/>
          <w:szCs w:val="24"/>
        </w:rPr>
        <w:t>dispute is whether it does so in substantially the same way.</w:t>
      </w:r>
    </w:p>
    <w:p w14:paraId="6798963B" w14:textId="49251E67" w:rsidR="002E599B" w:rsidRDefault="00807747" w:rsidP="009E4653">
      <w:pPr>
        <w:pStyle w:val="ParaLevel1"/>
        <w:rPr>
          <w:rFonts w:ascii="Book Antiqua" w:hAnsi="Book Antiqua"/>
          <w:szCs w:val="24"/>
        </w:rPr>
      </w:pPr>
      <w:r w:rsidRPr="009D1DF1">
        <w:rPr>
          <w:rFonts w:ascii="Book Antiqua" w:hAnsi="Book Antiqua"/>
          <w:szCs w:val="24"/>
        </w:rPr>
        <w:t xml:space="preserve">I do not </w:t>
      </w:r>
      <w:r w:rsidR="0086194E">
        <w:rPr>
          <w:rFonts w:ascii="Book Antiqua" w:hAnsi="Book Antiqua"/>
          <w:szCs w:val="24"/>
        </w:rPr>
        <w:t>accept</w:t>
      </w:r>
      <w:r w:rsidR="008E3CE3" w:rsidRPr="009D1DF1">
        <w:rPr>
          <w:rFonts w:ascii="Book Antiqua" w:hAnsi="Book Antiqua"/>
          <w:szCs w:val="24"/>
        </w:rPr>
        <w:t xml:space="preserve"> Source’s submission</w:t>
      </w:r>
      <w:r w:rsidR="002E599B">
        <w:rPr>
          <w:rFonts w:ascii="Book Antiqua" w:hAnsi="Book Antiqua"/>
          <w:szCs w:val="24"/>
        </w:rPr>
        <w:t>s</w:t>
      </w:r>
      <w:r w:rsidR="0086194E">
        <w:rPr>
          <w:rFonts w:ascii="Book Antiqua" w:hAnsi="Book Antiqua"/>
          <w:szCs w:val="24"/>
        </w:rPr>
        <w:t>:</w:t>
      </w:r>
      <w:r w:rsidR="00C97A0E">
        <w:rPr>
          <w:rFonts w:ascii="Book Antiqua" w:hAnsi="Book Antiqua"/>
          <w:szCs w:val="24"/>
        </w:rPr>
        <w:t xml:space="preserve"> (i)</w:t>
      </w:r>
      <w:r w:rsidR="00C97A0E" w:rsidRPr="009D1DF1">
        <w:rPr>
          <w:rFonts w:ascii="Book Antiqua" w:hAnsi="Book Antiqua"/>
          <w:szCs w:val="24"/>
        </w:rPr>
        <w:t xml:space="preserve"> that the different methods of loading the bags horizontally and vertically are substantially different</w:t>
      </w:r>
      <w:r w:rsidR="00C97A0E">
        <w:rPr>
          <w:rFonts w:ascii="Book Antiqua" w:hAnsi="Book Antiqua"/>
          <w:szCs w:val="24"/>
        </w:rPr>
        <w:t>; or, indeed</w:t>
      </w:r>
      <w:r w:rsidR="002E599B">
        <w:rPr>
          <w:rFonts w:ascii="Book Antiqua" w:hAnsi="Book Antiqua"/>
          <w:szCs w:val="24"/>
        </w:rPr>
        <w:t xml:space="preserve"> (</w:t>
      </w:r>
      <w:r w:rsidR="00C97A0E">
        <w:rPr>
          <w:rFonts w:ascii="Book Antiqua" w:hAnsi="Book Antiqua"/>
          <w:szCs w:val="24"/>
        </w:rPr>
        <w:t>i</w:t>
      </w:r>
      <w:r w:rsidR="002E599B">
        <w:rPr>
          <w:rFonts w:ascii="Book Antiqua" w:hAnsi="Book Antiqua"/>
          <w:szCs w:val="24"/>
        </w:rPr>
        <w:t>i) that the patent teaches only a single method of loading the bag</w:t>
      </w:r>
      <w:r w:rsidR="00C97A0E">
        <w:rPr>
          <w:rFonts w:ascii="Book Antiqua" w:hAnsi="Book Antiqua"/>
          <w:szCs w:val="24"/>
        </w:rPr>
        <w:t>, i.e. by horizontal flaking.</w:t>
      </w:r>
      <w:r w:rsidRPr="009D1DF1">
        <w:rPr>
          <w:rFonts w:ascii="Book Antiqua" w:hAnsi="Book Antiqua"/>
          <w:szCs w:val="24"/>
        </w:rPr>
        <w:t xml:space="preserve"> </w:t>
      </w:r>
    </w:p>
    <w:p w14:paraId="6B2069D3" w14:textId="1306CB12" w:rsidR="001912BB" w:rsidRPr="009D1DF1" w:rsidRDefault="002E599B" w:rsidP="009E4653">
      <w:pPr>
        <w:pStyle w:val="ParaLevel1"/>
        <w:rPr>
          <w:rFonts w:ascii="Book Antiqua" w:hAnsi="Book Antiqua"/>
          <w:szCs w:val="24"/>
        </w:rPr>
      </w:pPr>
      <w:r>
        <w:rPr>
          <w:rFonts w:ascii="Book Antiqua" w:hAnsi="Book Antiqua"/>
          <w:szCs w:val="24"/>
        </w:rPr>
        <w:t xml:space="preserve">In relation to the first point, </w:t>
      </w:r>
      <w:r w:rsidR="00C97A0E">
        <w:rPr>
          <w:rFonts w:ascii="Book Antiqua" w:hAnsi="Book Antiqua"/>
          <w:szCs w:val="24"/>
        </w:rPr>
        <w:t>t</w:t>
      </w:r>
      <w:r w:rsidR="00807747" w:rsidRPr="009D1DF1">
        <w:rPr>
          <w:rFonts w:ascii="Book Antiqua" w:hAnsi="Book Antiqua"/>
          <w:szCs w:val="24"/>
        </w:rPr>
        <w:t>hey are both a method of concertina-ing the linked round so that it can be unfolded by the action of the round pulling through the gun when fired</w:t>
      </w:r>
      <w:r w:rsidR="008E3CE3" w:rsidRPr="009D1DF1">
        <w:rPr>
          <w:rFonts w:ascii="Book Antiqua" w:hAnsi="Book Antiqua"/>
          <w:szCs w:val="24"/>
        </w:rPr>
        <w:t>, without snagging</w:t>
      </w:r>
      <w:r w:rsidR="00807747" w:rsidRPr="009D1DF1">
        <w:rPr>
          <w:rFonts w:ascii="Book Antiqua" w:hAnsi="Book Antiqua"/>
          <w:szCs w:val="24"/>
        </w:rPr>
        <w:t xml:space="preserve">. </w:t>
      </w:r>
      <w:r w:rsidR="00E54EEB">
        <w:rPr>
          <w:rFonts w:ascii="Book Antiqua" w:hAnsi="Book Antiqua"/>
          <w:szCs w:val="24"/>
        </w:rPr>
        <w:t>Both end up with brass-on-</w:t>
      </w:r>
      <w:r w:rsidR="001912BB" w:rsidRPr="009D1DF1">
        <w:rPr>
          <w:rFonts w:ascii="Book Antiqua" w:hAnsi="Book Antiqua"/>
          <w:szCs w:val="24"/>
        </w:rPr>
        <w:t>brass wit</w:t>
      </w:r>
      <w:r w:rsidR="00E54EEB">
        <w:rPr>
          <w:rFonts w:ascii="Book Antiqua" w:hAnsi="Book Antiqua"/>
          <w:szCs w:val="24"/>
        </w:rPr>
        <w:t>hin the concertina (and webbing-on-</w:t>
      </w:r>
      <w:r w:rsidR="001912BB" w:rsidRPr="009D1DF1">
        <w:rPr>
          <w:rFonts w:ascii="Book Antiqua" w:hAnsi="Book Antiqua"/>
          <w:szCs w:val="24"/>
        </w:rPr>
        <w:t xml:space="preserve">webbing on the layers in between). </w:t>
      </w:r>
      <w:r w:rsidR="00807747" w:rsidRPr="009D1DF1">
        <w:rPr>
          <w:rFonts w:ascii="Book Antiqua" w:hAnsi="Book Antiqua"/>
          <w:szCs w:val="24"/>
        </w:rPr>
        <w:t xml:space="preserve">The only difference between flaking vertically and flaking horizontally is the number of bullets in each layer. </w:t>
      </w:r>
      <w:r w:rsidR="008E3CE3" w:rsidRPr="009D1DF1">
        <w:rPr>
          <w:rFonts w:ascii="Book Antiqua" w:hAnsi="Book Antiqua"/>
          <w:szCs w:val="24"/>
        </w:rPr>
        <w:t>The horizontal method</w:t>
      </w:r>
      <w:r w:rsidR="00807747" w:rsidRPr="009D1DF1">
        <w:rPr>
          <w:rFonts w:ascii="Book Antiqua" w:hAnsi="Book Antiqua"/>
          <w:szCs w:val="24"/>
        </w:rPr>
        <w:t xml:space="preserve"> layer</w:t>
      </w:r>
      <w:r w:rsidR="008E3CE3" w:rsidRPr="009D1DF1">
        <w:rPr>
          <w:rFonts w:ascii="Book Antiqua" w:hAnsi="Book Antiqua"/>
          <w:szCs w:val="24"/>
        </w:rPr>
        <w:t>s</w:t>
      </w:r>
      <w:r w:rsidR="008F7C10" w:rsidRPr="009D1DF1">
        <w:rPr>
          <w:rFonts w:ascii="Book Antiqua" w:hAnsi="Book Antiqua"/>
          <w:szCs w:val="24"/>
        </w:rPr>
        <w:t xml:space="preserve"> a 200-bullet linked round</w:t>
      </w:r>
      <w:r w:rsidR="0086194E">
        <w:rPr>
          <w:rFonts w:ascii="Book Antiqua" w:hAnsi="Book Antiqua"/>
          <w:szCs w:val="24"/>
        </w:rPr>
        <w:t xml:space="preserve"> with, say, 5</w:t>
      </w:r>
      <w:r w:rsidR="00807747" w:rsidRPr="009D1DF1">
        <w:rPr>
          <w:rFonts w:ascii="Book Antiqua" w:hAnsi="Book Antiqua"/>
          <w:szCs w:val="24"/>
        </w:rPr>
        <w:t xml:space="preserve">0 bullets in each </w:t>
      </w:r>
      <w:r w:rsidR="0086194E">
        <w:rPr>
          <w:rFonts w:ascii="Book Antiqua" w:hAnsi="Book Antiqua"/>
          <w:szCs w:val="24"/>
        </w:rPr>
        <w:t>of 4</w:t>
      </w:r>
      <w:r w:rsidR="008F7C10" w:rsidRPr="009D1DF1">
        <w:rPr>
          <w:rFonts w:ascii="Book Antiqua" w:hAnsi="Book Antiqua"/>
          <w:szCs w:val="24"/>
        </w:rPr>
        <w:t xml:space="preserve"> leaves </w:t>
      </w:r>
      <w:r w:rsidR="00807747" w:rsidRPr="009D1DF1">
        <w:rPr>
          <w:rFonts w:ascii="Book Antiqua" w:hAnsi="Book Antiqua"/>
          <w:szCs w:val="24"/>
        </w:rPr>
        <w:t>of the concertina</w:t>
      </w:r>
      <w:r w:rsidR="008E3CE3" w:rsidRPr="009D1DF1">
        <w:rPr>
          <w:rFonts w:ascii="Book Antiqua" w:hAnsi="Book Antiqua"/>
          <w:szCs w:val="24"/>
        </w:rPr>
        <w:t>, and the vertical method</w:t>
      </w:r>
      <w:r w:rsidR="00807747" w:rsidRPr="009D1DF1">
        <w:rPr>
          <w:rFonts w:ascii="Book Antiqua" w:hAnsi="Book Antiqua"/>
          <w:szCs w:val="24"/>
        </w:rPr>
        <w:t xml:space="preserve"> layer</w:t>
      </w:r>
      <w:r w:rsidR="008E3CE3" w:rsidRPr="009D1DF1">
        <w:rPr>
          <w:rFonts w:ascii="Book Antiqua" w:hAnsi="Book Antiqua"/>
          <w:szCs w:val="24"/>
        </w:rPr>
        <w:t>s</w:t>
      </w:r>
      <w:r w:rsidR="00807747" w:rsidRPr="009D1DF1">
        <w:rPr>
          <w:rFonts w:ascii="Book Antiqua" w:hAnsi="Book Antiqua"/>
          <w:szCs w:val="24"/>
        </w:rPr>
        <w:t xml:space="preserve"> </w:t>
      </w:r>
      <w:r w:rsidR="008E3CE3" w:rsidRPr="009D1DF1">
        <w:rPr>
          <w:rFonts w:ascii="Book Antiqua" w:hAnsi="Book Antiqua"/>
          <w:szCs w:val="24"/>
        </w:rPr>
        <w:t xml:space="preserve">a 200-bullet linked round </w:t>
      </w:r>
      <w:r w:rsidR="00807747" w:rsidRPr="009D1DF1">
        <w:rPr>
          <w:rFonts w:ascii="Book Antiqua" w:hAnsi="Book Antiqua"/>
          <w:szCs w:val="24"/>
        </w:rPr>
        <w:t xml:space="preserve">with, say, 4 bullets in each </w:t>
      </w:r>
      <w:r w:rsidR="008F7C10" w:rsidRPr="009D1DF1">
        <w:rPr>
          <w:rFonts w:ascii="Book Antiqua" w:hAnsi="Book Antiqua"/>
          <w:szCs w:val="24"/>
        </w:rPr>
        <w:t>of 50 leaves</w:t>
      </w:r>
      <w:r w:rsidR="00807747" w:rsidRPr="009D1DF1">
        <w:rPr>
          <w:rFonts w:ascii="Book Antiqua" w:hAnsi="Book Antiqua"/>
          <w:szCs w:val="24"/>
        </w:rPr>
        <w:t xml:space="preserve"> of the concertina. </w:t>
      </w:r>
    </w:p>
    <w:p w14:paraId="4E10C80C" w14:textId="50B66D54" w:rsidR="008E3CE3" w:rsidRPr="009D1DF1" w:rsidRDefault="00927A87" w:rsidP="009E4653">
      <w:pPr>
        <w:pStyle w:val="ParaLevel1"/>
        <w:rPr>
          <w:rFonts w:ascii="Book Antiqua" w:hAnsi="Book Antiqua"/>
          <w:szCs w:val="24"/>
        </w:rPr>
      </w:pPr>
      <w:r>
        <w:rPr>
          <w:rFonts w:ascii="Book Antiqua" w:hAnsi="Book Antiqua"/>
          <w:szCs w:val="24"/>
        </w:rPr>
        <w:t>I accept that t</w:t>
      </w:r>
      <w:r w:rsidR="002930F5" w:rsidRPr="009D1DF1">
        <w:rPr>
          <w:rFonts w:ascii="Book Antiqua" w:hAnsi="Book Antiqua"/>
          <w:szCs w:val="24"/>
        </w:rPr>
        <w:t>he Link-Tail was designed envisaging that the user would flake the linked round horizontally, and accordingly it provided an openable closure in order to facilitate that</w:t>
      </w:r>
      <w:r w:rsidR="008E3CE3" w:rsidRPr="009D1DF1">
        <w:rPr>
          <w:rFonts w:ascii="Book Antiqua" w:hAnsi="Book Antiqua"/>
          <w:szCs w:val="24"/>
        </w:rPr>
        <w:t xml:space="preserve">; so that the linked round could be flaked </w:t>
      </w:r>
      <w:r>
        <w:rPr>
          <w:rFonts w:ascii="Book Antiqua" w:hAnsi="Book Antiqua"/>
          <w:szCs w:val="24"/>
        </w:rPr>
        <w:t xml:space="preserve">directly </w:t>
      </w:r>
      <w:r w:rsidR="008E3CE3" w:rsidRPr="009D1DF1">
        <w:rPr>
          <w:rFonts w:ascii="Book Antiqua" w:hAnsi="Book Antiqua"/>
          <w:szCs w:val="24"/>
        </w:rPr>
        <w:t>in the bag, and then the bag closed up</w:t>
      </w:r>
      <w:r w:rsidR="002930F5" w:rsidRPr="009D1DF1">
        <w:rPr>
          <w:rFonts w:ascii="Book Antiqua" w:hAnsi="Book Antiqua"/>
          <w:szCs w:val="24"/>
        </w:rPr>
        <w:t xml:space="preserve">. </w:t>
      </w:r>
      <w:r>
        <w:rPr>
          <w:rFonts w:ascii="Book Antiqua" w:hAnsi="Book Antiqua"/>
          <w:szCs w:val="24"/>
        </w:rPr>
        <w:t>That is Mr Maclean’s evidence. However, as</w:t>
      </w:r>
      <w:r w:rsidR="002930F5" w:rsidRPr="009D1DF1">
        <w:rPr>
          <w:rFonts w:ascii="Book Antiqua" w:hAnsi="Book Antiqua"/>
          <w:szCs w:val="24"/>
        </w:rPr>
        <w:t xml:space="preserve"> Source accepts, it is not necessary to use </w:t>
      </w:r>
      <w:r w:rsidR="008E3CE3" w:rsidRPr="009D1DF1">
        <w:rPr>
          <w:rFonts w:ascii="Book Antiqua" w:hAnsi="Book Antiqua"/>
          <w:szCs w:val="24"/>
        </w:rPr>
        <w:t>the openable closure</w:t>
      </w:r>
      <w:r w:rsidR="0086194E">
        <w:rPr>
          <w:rFonts w:ascii="Book Antiqua" w:hAnsi="Book Antiqua"/>
          <w:szCs w:val="24"/>
        </w:rPr>
        <w:t xml:space="preserve"> </w:t>
      </w:r>
      <w:r w:rsidR="005B6DC9">
        <w:rPr>
          <w:rFonts w:ascii="Book Antiqua" w:hAnsi="Book Antiqua"/>
          <w:szCs w:val="24"/>
        </w:rPr>
        <w:t xml:space="preserve">even </w:t>
      </w:r>
      <w:r w:rsidR="0086194E">
        <w:rPr>
          <w:rFonts w:ascii="Book Antiqua" w:hAnsi="Book Antiqua"/>
          <w:szCs w:val="24"/>
        </w:rPr>
        <w:t>with a horizontally flaked round</w:t>
      </w:r>
      <w:r w:rsidR="002930F5" w:rsidRPr="009D1DF1">
        <w:rPr>
          <w:rFonts w:ascii="Book Antiqua" w:hAnsi="Book Antiqua"/>
          <w:szCs w:val="24"/>
        </w:rPr>
        <w:t xml:space="preserve">: </w:t>
      </w:r>
      <w:r w:rsidR="008E3CE3" w:rsidRPr="009D1DF1">
        <w:rPr>
          <w:rFonts w:ascii="Book Antiqua" w:hAnsi="Book Antiqua"/>
          <w:szCs w:val="24"/>
        </w:rPr>
        <w:t>Source</w:t>
      </w:r>
      <w:r w:rsidR="002930F5" w:rsidRPr="009D1DF1">
        <w:rPr>
          <w:rFonts w:ascii="Book Antiqua" w:hAnsi="Book Antiqua"/>
          <w:szCs w:val="24"/>
        </w:rPr>
        <w:t xml:space="preserve"> accepts Mr Maclean’s point that the user could flake the round horizontally outside the </w:t>
      </w:r>
      <w:r w:rsidR="00FF5A6A" w:rsidRPr="009D1DF1">
        <w:rPr>
          <w:rFonts w:ascii="Book Antiqua" w:hAnsi="Book Antiqua"/>
          <w:szCs w:val="24"/>
        </w:rPr>
        <w:t>Link-Tail</w:t>
      </w:r>
      <w:r w:rsidR="002930F5" w:rsidRPr="009D1DF1">
        <w:rPr>
          <w:rFonts w:ascii="Book Antiqua" w:hAnsi="Book Antiqua"/>
          <w:szCs w:val="24"/>
        </w:rPr>
        <w:t xml:space="preserve"> and then feed it through the top opening, to achieve the</w:t>
      </w:r>
      <w:r w:rsidR="00FF5A6A" w:rsidRPr="009D1DF1">
        <w:rPr>
          <w:rFonts w:ascii="Book Antiqua" w:hAnsi="Book Antiqua"/>
          <w:szCs w:val="24"/>
        </w:rPr>
        <w:t xml:space="preserve"> same result</w:t>
      </w:r>
      <w:r w:rsidR="008E3CE3" w:rsidRPr="009D1DF1">
        <w:rPr>
          <w:rFonts w:ascii="Book Antiqua" w:hAnsi="Book Antiqua"/>
          <w:szCs w:val="24"/>
        </w:rPr>
        <w:t xml:space="preserve"> without opening the zipped closure at all</w:t>
      </w:r>
      <w:r w:rsidR="00FF5A6A" w:rsidRPr="009D1DF1">
        <w:rPr>
          <w:rFonts w:ascii="Book Antiqua" w:hAnsi="Book Antiqua"/>
          <w:szCs w:val="24"/>
        </w:rPr>
        <w:t>. Indeed, the 2017 B</w:t>
      </w:r>
      <w:r w:rsidR="002930F5" w:rsidRPr="009D1DF1">
        <w:rPr>
          <w:rFonts w:ascii="Book Antiqua" w:hAnsi="Book Antiqua"/>
          <w:szCs w:val="24"/>
        </w:rPr>
        <w:t xml:space="preserve">ag could be utilised to hold a horizontally flaked round </w:t>
      </w:r>
      <w:r w:rsidR="00FF5A6A" w:rsidRPr="009D1DF1">
        <w:rPr>
          <w:rFonts w:ascii="Book Antiqua" w:hAnsi="Book Antiqua"/>
          <w:szCs w:val="24"/>
        </w:rPr>
        <w:t>by this same method of loading</w:t>
      </w:r>
      <w:r w:rsidR="002930F5" w:rsidRPr="009D1DF1">
        <w:rPr>
          <w:rFonts w:ascii="Book Antiqua" w:hAnsi="Book Antiqua"/>
          <w:szCs w:val="24"/>
        </w:rPr>
        <w:t xml:space="preserve">. </w:t>
      </w:r>
    </w:p>
    <w:p w14:paraId="688727FF" w14:textId="77777777" w:rsidR="00C97A0E" w:rsidRDefault="00FF5A6A" w:rsidP="009E4653">
      <w:pPr>
        <w:pStyle w:val="ParaLevel1"/>
        <w:rPr>
          <w:rFonts w:ascii="Book Antiqua" w:hAnsi="Book Antiqua"/>
          <w:szCs w:val="24"/>
        </w:rPr>
      </w:pPr>
      <w:r w:rsidRPr="009D1DF1">
        <w:rPr>
          <w:rFonts w:ascii="Book Antiqua" w:hAnsi="Book Antiqua"/>
          <w:szCs w:val="24"/>
        </w:rPr>
        <w:t>However,</w:t>
      </w:r>
      <w:r w:rsidR="002930F5" w:rsidRPr="009D1DF1">
        <w:rPr>
          <w:rFonts w:ascii="Book Antiqua" w:hAnsi="Book Antiqua"/>
          <w:szCs w:val="24"/>
        </w:rPr>
        <w:t xml:space="preserve"> the other way that the invention can be used is by holding it vertical and </w:t>
      </w:r>
      <w:r w:rsidR="00BE44BA" w:rsidRPr="009D1DF1">
        <w:rPr>
          <w:rFonts w:ascii="Book Antiqua" w:hAnsi="Book Antiqua"/>
          <w:szCs w:val="24"/>
        </w:rPr>
        <w:t>carefully</w:t>
      </w:r>
      <w:r w:rsidR="008E3CE3" w:rsidRPr="009D1DF1">
        <w:rPr>
          <w:rFonts w:ascii="Book Antiqua" w:hAnsi="Book Antiqua"/>
          <w:szCs w:val="24"/>
        </w:rPr>
        <w:t xml:space="preserve"> dropping</w:t>
      </w:r>
      <w:r w:rsidR="002930F5" w:rsidRPr="009D1DF1">
        <w:rPr>
          <w:rFonts w:ascii="Book Antiqua" w:hAnsi="Book Antiqua"/>
          <w:szCs w:val="24"/>
        </w:rPr>
        <w:t xml:space="preserve"> the linked round through the top opening, </w:t>
      </w:r>
      <w:r w:rsidR="00BE44BA" w:rsidRPr="009D1DF1">
        <w:rPr>
          <w:rFonts w:ascii="Book Antiqua" w:hAnsi="Book Antiqua"/>
          <w:szCs w:val="24"/>
        </w:rPr>
        <w:t xml:space="preserve">last round first, </w:t>
      </w:r>
      <w:r w:rsidR="002930F5" w:rsidRPr="009D1DF1">
        <w:rPr>
          <w:rFonts w:ascii="Book Antiqua" w:hAnsi="Book Antiqua"/>
          <w:szCs w:val="24"/>
        </w:rPr>
        <w:t xml:space="preserve">allowing it to concertina or flake itself from the bottom up. </w:t>
      </w:r>
      <w:r w:rsidRPr="009D1DF1">
        <w:rPr>
          <w:rFonts w:ascii="Book Antiqua" w:hAnsi="Book Antiqua"/>
          <w:szCs w:val="24"/>
        </w:rPr>
        <w:t>That is</w:t>
      </w:r>
      <w:r w:rsidR="008F7C10" w:rsidRPr="009D1DF1">
        <w:rPr>
          <w:rFonts w:ascii="Book Antiqua" w:hAnsi="Book Antiqua"/>
          <w:szCs w:val="24"/>
        </w:rPr>
        <w:t xml:space="preserve"> no more than</w:t>
      </w:r>
      <w:r w:rsidRPr="009D1DF1">
        <w:rPr>
          <w:rFonts w:ascii="Book Antiqua" w:hAnsi="Book Antiqua"/>
          <w:szCs w:val="24"/>
        </w:rPr>
        <w:t xml:space="preserve"> a matter of convenience and preference</w:t>
      </w:r>
      <w:r w:rsidR="008F7C10" w:rsidRPr="009D1DF1">
        <w:rPr>
          <w:rFonts w:ascii="Book Antiqua" w:hAnsi="Book Antiqua"/>
          <w:szCs w:val="24"/>
        </w:rPr>
        <w:t>, in my judgment</w:t>
      </w:r>
      <w:r w:rsidR="00201F4C" w:rsidRPr="009D1DF1">
        <w:rPr>
          <w:rFonts w:ascii="Book Antiqua" w:hAnsi="Book Antiqua"/>
          <w:szCs w:val="24"/>
        </w:rPr>
        <w:t>, and a substantially similar way of working the invention</w:t>
      </w:r>
      <w:r w:rsidRPr="009D1DF1">
        <w:rPr>
          <w:rFonts w:ascii="Book Antiqua" w:hAnsi="Book Antiqua"/>
          <w:szCs w:val="24"/>
        </w:rPr>
        <w:t xml:space="preserve">. </w:t>
      </w:r>
    </w:p>
    <w:p w14:paraId="05561917" w14:textId="19DB6FC8" w:rsidR="00C97A0E" w:rsidRDefault="00C97A0E" w:rsidP="009E4653">
      <w:pPr>
        <w:pStyle w:val="ParaLevel1"/>
        <w:rPr>
          <w:rFonts w:ascii="Book Antiqua" w:hAnsi="Book Antiqua"/>
          <w:szCs w:val="24"/>
        </w:rPr>
      </w:pPr>
      <w:r>
        <w:rPr>
          <w:rFonts w:ascii="Book Antiqua" w:hAnsi="Book Antiqua"/>
          <w:szCs w:val="24"/>
        </w:rPr>
        <w:t xml:space="preserve">In relation to the second point, I have considered the diagrams and the specification carefully. The diagrams do not disclose how the linked round is flaked in the bag. They depict the bag closed, with only the first 6 rounds visible and it is not possible to tell from </w:t>
      </w:r>
      <w:r w:rsidR="00E54EEB">
        <w:rPr>
          <w:rFonts w:ascii="Book Antiqua" w:hAnsi="Book Antiqua"/>
          <w:szCs w:val="24"/>
        </w:rPr>
        <w:t>the pictorial representation</w:t>
      </w:r>
      <w:r>
        <w:rPr>
          <w:rFonts w:ascii="Book Antiqua" w:hAnsi="Book Antiqua"/>
          <w:szCs w:val="24"/>
        </w:rPr>
        <w:t xml:space="preserve"> whether the rest of the rounds are flaked horizontally or vertically. The specification does not</w:t>
      </w:r>
      <w:r w:rsidR="00204AAF">
        <w:rPr>
          <w:rFonts w:ascii="Book Antiqua" w:hAnsi="Book Antiqua"/>
          <w:szCs w:val="24"/>
        </w:rPr>
        <w:t>, generally,</w:t>
      </w:r>
      <w:r>
        <w:rPr>
          <w:rFonts w:ascii="Book Antiqua" w:hAnsi="Book Antiqua"/>
          <w:szCs w:val="24"/>
        </w:rPr>
        <w:t xml:space="preserve"> describe the loading of the rounds in the bag in a way which describes horizontal flaking but precludes vertical flaking. In my judgment, all the references</w:t>
      </w:r>
      <w:r w:rsidR="002A361C">
        <w:rPr>
          <w:rFonts w:ascii="Book Antiqua" w:hAnsi="Book Antiqua"/>
          <w:szCs w:val="24"/>
        </w:rPr>
        <w:t>,</w:t>
      </w:r>
      <w:r w:rsidR="00204AAF">
        <w:rPr>
          <w:rFonts w:ascii="Book Antiqua" w:hAnsi="Book Antiqua"/>
          <w:szCs w:val="24"/>
        </w:rPr>
        <w:t xml:space="preserve"> save one</w:t>
      </w:r>
      <w:r w:rsidR="002A361C">
        <w:rPr>
          <w:rFonts w:ascii="Book Antiqua" w:hAnsi="Book Antiqua"/>
          <w:szCs w:val="24"/>
        </w:rPr>
        <w:t>,</w:t>
      </w:r>
      <w:r>
        <w:rPr>
          <w:rFonts w:ascii="Book Antiqua" w:hAnsi="Book Antiqua"/>
          <w:szCs w:val="24"/>
        </w:rPr>
        <w:t xml:space="preserve"> could equally apply to either method. See for example, on page 2 (quoted above) which provides that </w:t>
      </w:r>
      <w:r w:rsidRPr="00C97A0E">
        <w:rPr>
          <w:rFonts w:ascii="Book Antiqua" w:hAnsi="Book Antiqua"/>
          <w:i/>
          <w:szCs w:val="24"/>
        </w:rPr>
        <w:t>“The linked round will generally be folded such that a linked round that is longer than the sleeve can be contained within the sleeve. When folded, the individual rounds of the linked round will remain in the same orientation and an end of the linked round will be positioned at the opening at the second end of the sleeve”.</w:t>
      </w:r>
      <w:r>
        <w:rPr>
          <w:rFonts w:ascii="Book Antiqua" w:hAnsi="Book Antiqua"/>
          <w:szCs w:val="24"/>
        </w:rPr>
        <w:t xml:space="preserve"> I consider that both methods of loading would meet that description. The openable closure is described as allowing </w:t>
      </w:r>
      <w:r w:rsidRPr="00C97A0E">
        <w:rPr>
          <w:rFonts w:ascii="Book Antiqua" w:hAnsi="Book Antiqua"/>
          <w:i/>
          <w:szCs w:val="24"/>
        </w:rPr>
        <w:t>“a linked round to be positioned in the sleeve in a simple manner”</w:t>
      </w:r>
      <w:r>
        <w:rPr>
          <w:rFonts w:ascii="Book Antiqua" w:hAnsi="Book Antiqua"/>
          <w:szCs w:val="24"/>
        </w:rPr>
        <w:t xml:space="preserve"> but that is not mandated.</w:t>
      </w:r>
    </w:p>
    <w:p w14:paraId="530D3237" w14:textId="70C26DDB" w:rsidR="00C97A0E" w:rsidRDefault="00C97A0E" w:rsidP="009E4653">
      <w:pPr>
        <w:pStyle w:val="ParaLevel1"/>
        <w:rPr>
          <w:rFonts w:ascii="Book Antiqua" w:hAnsi="Book Antiqua"/>
          <w:szCs w:val="24"/>
        </w:rPr>
      </w:pPr>
      <w:r>
        <w:rPr>
          <w:rFonts w:ascii="Book Antiqua" w:hAnsi="Book Antiqua"/>
          <w:szCs w:val="24"/>
        </w:rPr>
        <w:t xml:space="preserve">At the bottom of page 2 of the specification, it discusses that the firearm can be used without the need to further remove the linked round from the sleeve, but says that this is possible </w:t>
      </w:r>
      <w:r w:rsidRPr="00C97A0E">
        <w:rPr>
          <w:rFonts w:ascii="Book Antiqua" w:hAnsi="Book Antiqua"/>
          <w:i/>
          <w:szCs w:val="24"/>
        </w:rPr>
        <w:t>“due to the shape of the sleeve and the positioning of the linked round within the sleeve”</w:t>
      </w:r>
      <w:r>
        <w:rPr>
          <w:rFonts w:ascii="Book Antiqua" w:hAnsi="Book Antiqua"/>
          <w:szCs w:val="24"/>
        </w:rPr>
        <w:t xml:space="preserve">. It goes onto explain that: </w:t>
      </w:r>
      <w:r w:rsidRPr="00C97A0E">
        <w:rPr>
          <w:rFonts w:ascii="Book Antiqua" w:hAnsi="Book Antiqua"/>
          <w:i/>
          <w:szCs w:val="24"/>
        </w:rPr>
        <w:t>“As all of the bullets in the linked round are parallel to the width of the sleeve and the linked round extends along a length of the sleeve, it can quickly and easily pulled out of the sleeve without snagging”</w:t>
      </w:r>
      <w:r>
        <w:rPr>
          <w:rFonts w:ascii="Book Antiqua" w:hAnsi="Book Antiqua"/>
          <w:szCs w:val="24"/>
        </w:rPr>
        <w:t xml:space="preserve">. Again, this applies to bullets flaked both horizontally and vertically. In each </w:t>
      </w:r>
      <w:r w:rsidR="00E54EEB">
        <w:rPr>
          <w:rFonts w:ascii="Book Antiqua" w:hAnsi="Book Antiqua"/>
          <w:szCs w:val="24"/>
        </w:rPr>
        <w:t>method</w:t>
      </w:r>
      <w:r>
        <w:rPr>
          <w:rFonts w:ascii="Book Antiqua" w:hAnsi="Book Antiqua"/>
          <w:szCs w:val="24"/>
        </w:rPr>
        <w:t xml:space="preserve"> the bullets are parallel to the width of the sleeve, and the linked round extends along the length of the sleeve, albeit differently folded.</w:t>
      </w:r>
      <w:r w:rsidR="00927A87">
        <w:rPr>
          <w:rFonts w:ascii="Book Antiqua" w:hAnsi="Book Antiqua"/>
          <w:szCs w:val="24"/>
        </w:rPr>
        <w:t xml:space="preserve"> </w:t>
      </w:r>
    </w:p>
    <w:p w14:paraId="3FDC0B2E" w14:textId="4C5FF991" w:rsidR="009D16A5" w:rsidRDefault="00C97A0E" w:rsidP="009E4653">
      <w:pPr>
        <w:pStyle w:val="ParaLevel1"/>
        <w:rPr>
          <w:rFonts w:ascii="Book Antiqua" w:hAnsi="Book Antiqua"/>
          <w:szCs w:val="24"/>
        </w:rPr>
      </w:pPr>
      <w:r>
        <w:rPr>
          <w:rFonts w:ascii="Book Antiqua" w:hAnsi="Book Antiqua"/>
          <w:szCs w:val="24"/>
        </w:rPr>
        <w:t xml:space="preserve">On page 4-5 of the specification, it refers to the need to fold the linked round in the bag </w:t>
      </w:r>
      <w:r w:rsidRPr="00C97A0E">
        <w:rPr>
          <w:rFonts w:ascii="Book Antiqua" w:hAnsi="Book Antiqua"/>
          <w:i/>
          <w:szCs w:val="24"/>
        </w:rPr>
        <w:t>“to a length that is easy to carry but still allows the linked round to be pulled from the bag in a simple manner when required”</w:t>
      </w:r>
      <w:r>
        <w:rPr>
          <w:rFonts w:ascii="Book Antiqua" w:hAnsi="Book Antiqua"/>
          <w:szCs w:val="24"/>
        </w:rPr>
        <w:t xml:space="preserve">. It describes that a bag which is a quarter the length of the linked round is preferred but not </w:t>
      </w:r>
      <w:r w:rsidR="00927A87">
        <w:rPr>
          <w:rFonts w:ascii="Book Antiqua" w:hAnsi="Book Antiqua"/>
          <w:szCs w:val="24"/>
        </w:rPr>
        <w:t>mandated</w:t>
      </w:r>
      <w:r>
        <w:rPr>
          <w:rFonts w:ascii="Book Antiqua" w:hAnsi="Book Antiqua"/>
          <w:szCs w:val="24"/>
        </w:rPr>
        <w:t xml:space="preserve">. It does not specify that the linked round itself is folded into quarters for a bag of that size, but rather that </w:t>
      </w:r>
      <w:r w:rsidRPr="00C97A0E">
        <w:rPr>
          <w:rFonts w:ascii="Book Antiqua" w:hAnsi="Book Antiqua"/>
          <w:i/>
          <w:szCs w:val="24"/>
        </w:rPr>
        <w:t>“for any specific bag the volume of the sleeve will be designed to be able to carry a linked round that is folded in the manner intended. For example if a bag is intended for use with a linked round comprising two hundred individual rounds and is approximately a quarter of the length of that linked round, then the volume of the sleeve will be suitable for containing a two hundred round linked round that has bee</w:t>
      </w:r>
      <w:r>
        <w:rPr>
          <w:rFonts w:ascii="Book Antiqua" w:hAnsi="Book Antiqua"/>
          <w:i/>
          <w:szCs w:val="24"/>
        </w:rPr>
        <w:t>n</w:t>
      </w:r>
      <w:r w:rsidRPr="00C97A0E">
        <w:rPr>
          <w:rFonts w:ascii="Book Antiqua" w:hAnsi="Book Antiqua"/>
          <w:i/>
          <w:szCs w:val="24"/>
        </w:rPr>
        <w:t xml:space="preserve"> folded to be a quarter of its total length”</w:t>
      </w:r>
      <w:r>
        <w:rPr>
          <w:rFonts w:ascii="Book Antiqua" w:hAnsi="Book Antiqua"/>
          <w:szCs w:val="24"/>
        </w:rPr>
        <w:t>. It does not specify how that linked round will be folded, in order to achieve a</w:t>
      </w:r>
      <w:r w:rsidR="009D16A5">
        <w:rPr>
          <w:rFonts w:ascii="Book Antiqua" w:hAnsi="Book Antiqua"/>
          <w:szCs w:val="24"/>
        </w:rPr>
        <w:t xml:space="preserve"> quarter of its total length. It could be a linked round horizontally flaked in quarters. However, a linked round</w:t>
      </w:r>
      <w:r>
        <w:rPr>
          <w:rFonts w:ascii="Book Antiqua" w:hAnsi="Book Antiqua"/>
          <w:szCs w:val="24"/>
        </w:rPr>
        <w:t xml:space="preserve"> vertical</w:t>
      </w:r>
      <w:r w:rsidR="009D16A5">
        <w:rPr>
          <w:rFonts w:ascii="Book Antiqua" w:hAnsi="Book Antiqua"/>
          <w:szCs w:val="24"/>
        </w:rPr>
        <w:t>ly flaked</w:t>
      </w:r>
      <w:r>
        <w:rPr>
          <w:rFonts w:ascii="Book Antiqua" w:hAnsi="Book Antiqua"/>
          <w:szCs w:val="24"/>
        </w:rPr>
        <w:t xml:space="preserve"> </w:t>
      </w:r>
      <w:r w:rsidR="009D16A5">
        <w:rPr>
          <w:rFonts w:ascii="Book Antiqua" w:hAnsi="Book Antiqua"/>
          <w:szCs w:val="24"/>
        </w:rPr>
        <w:t>into such a bag</w:t>
      </w:r>
      <w:r>
        <w:rPr>
          <w:rFonts w:ascii="Book Antiqua" w:hAnsi="Book Antiqua"/>
          <w:szCs w:val="24"/>
        </w:rPr>
        <w:t xml:space="preserve"> </w:t>
      </w:r>
      <w:r w:rsidR="009D16A5">
        <w:rPr>
          <w:rFonts w:ascii="Book Antiqua" w:hAnsi="Book Antiqua"/>
          <w:szCs w:val="24"/>
        </w:rPr>
        <w:t>would</w:t>
      </w:r>
      <w:r>
        <w:rPr>
          <w:rFonts w:ascii="Book Antiqua" w:hAnsi="Book Antiqua"/>
          <w:szCs w:val="24"/>
        </w:rPr>
        <w:t xml:space="preserve"> also </w:t>
      </w:r>
      <w:r w:rsidR="009D16A5">
        <w:rPr>
          <w:rFonts w:ascii="Book Antiqua" w:hAnsi="Book Antiqua"/>
          <w:szCs w:val="24"/>
        </w:rPr>
        <w:t xml:space="preserve">be </w:t>
      </w:r>
      <w:r>
        <w:rPr>
          <w:rFonts w:ascii="Book Antiqua" w:hAnsi="Book Antiqua"/>
          <w:szCs w:val="24"/>
        </w:rPr>
        <w:t xml:space="preserve">folded to a quarter of its total length, </w:t>
      </w:r>
      <w:r w:rsidR="009D16A5">
        <w:rPr>
          <w:rFonts w:ascii="Book Antiqua" w:hAnsi="Book Antiqua"/>
          <w:szCs w:val="24"/>
        </w:rPr>
        <w:t>albeit</w:t>
      </w:r>
      <w:r>
        <w:rPr>
          <w:rFonts w:ascii="Book Antiqua" w:hAnsi="Book Antiqua"/>
          <w:szCs w:val="24"/>
        </w:rPr>
        <w:t xml:space="preserve"> folded otherwise than in quarters.</w:t>
      </w:r>
      <w:r w:rsidR="009D16A5">
        <w:rPr>
          <w:rFonts w:ascii="Book Antiqua" w:hAnsi="Book Antiqua"/>
          <w:szCs w:val="24"/>
        </w:rPr>
        <w:t xml:space="preserve"> </w:t>
      </w:r>
    </w:p>
    <w:p w14:paraId="4BCE133A" w14:textId="35C17812" w:rsidR="00204AAF" w:rsidRDefault="00204AAF" w:rsidP="009E4653">
      <w:pPr>
        <w:pStyle w:val="ParaLevel1"/>
        <w:rPr>
          <w:rFonts w:ascii="Book Antiqua" w:hAnsi="Book Antiqua"/>
          <w:szCs w:val="24"/>
        </w:rPr>
      </w:pPr>
      <w:r>
        <w:rPr>
          <w:rFonts w:ascii="Book Antiqua" w:hAnsi="Book Antiqua"/>
          <w:szCs w:val="24"/>
        </w:rPr>
        <w:t>It is only on page 9 of the specification</w:t>
      </w:r>
      <w:r w:rsidR="006905AA">
        <w:rPr>
          <w:rFonts w:ascii="Book Antiqua" w:hAnsi="Book Antiqua"/>
          <w:szCs w:val="24"/>
        </w:rPr>
        <w:t xml:space="preserve"> describing the drawings,</w:t>
      </w:r>
      <w:r>
        <w:rPr>
          <w:rFonts w:ascii="Book Antiqua" w:hAnsi="Book Antiqua"/>
          <w:szCs w:val="24"/>
        </w:rPr>
        <w:t xml:space="preserve"> that it refers to quartering a linked round of</w:t>
      </w:r>
      <w:r w:rsidR="006905AA">
        <w:rPr>
          <w:rFonts w:ascii="Book Antiqua" w:hAnsi="Book Antiqua"/>
          <w:szCs w:val="24"/>
        </w:rPr>
        <w:t xml:space="preserve"> 200 individual rounds, 3m long, saying</w:t>
      </w:r>
      <w:r w:rsidR="00FC2C7F">
        <w:rPr>
          <w:rFonts w:ascii="Book Antiqua" w:hAnsi="Book Antiqua"/>
          <w:szCs w:val="24"/>
        </w:rPr>
        <w:t>:</w:t>
      </w:r>
      <w:r w:rsidR="006905AA">
        <w:rPr>
          <w:rFonts w:ascii="Book Antiqua" w:hAnsi="Book Antiqua"/>
          <w:szCs w:val="24"/>
        </w:rPr>
        <w:t xml:space="preserve"> </w:t>
      </w:r>
      <w:r w:rsidR="006905AA" w:rsidRPr="006905AA">
        <w:rPr>
          <w:rFonts w:ascii="Book Antiqua" w:hAnsi="Book Antiqua"/>
          <w:i/>
          <w:szCs w:val="24"/>
        </w:rPr>
        <w:t>“The linked round 5 is stored within the bag 11 folded over upon itself. In particular, the linked round 5 is folded so that it is in four layers”</w:t>
      </w:r>
      <w:r w:rsidR="006905AA">
        <w:rPr>
          <w:rFonts w:ascii="Book Antiqua" w:hAnsi="Book Antiqua"/>
          <w:szCs w:val="24"/>
        </w:rPr>
        <w:t xml:space="preserve">. However, as already described, the specification at pages 4 and 5 describes the both the length of the linked round and the length of the bag </w:t>
      </w:r>
      <w:r w:rsidR="00E54EEB">
        <w:rPr>
          <w:rFonts w:ascii="Book Antiqua" w:hAnsi="Book Antiqua"/>
          <w:szCs w:val="24"/>
        </w:rPr>
        <w:t>as</w:t>
      </w:r>
      <w:r w:rsidR="006905AA">
        <w:rPr>
          <w:rFonts w:ascii="Book Antiqua" w:hAnsi="Book Antiqua"/>
          <w:szCs w:val="24"/>
        </w:rPr>
        <w:t xml:space="preserve"> variable, and </w:t>
      </w:r>
      <w:r w:rsidR="00FC2C7F">
        <w:rPr>
          <w:rFonts w:ascii="Book Antiqua" w:hAnsi="Book Antiqua"/>
          <w:szCs w:val="24"/>
        </w:rPr>
        <w:t>states</w:t>
      </w:r>
      <w:r w:rsidR="006905AA">
        <w:rPr>
          <w:rFonts w:ascii="Book Antiqua" w:hAnsi="Book Antiqua"/>
          <w:szCs w:val="24"/>
        </w:rPr>
        <w:t xml:space="preserve"> that </w:t>
      </w:r>
      <w:r w:rsidR="006905AA" w:rsidRPr="00E54EEB">
        <w:rPr>
          <w:rFonts w:ascii="Book Antiqua" w:hAnsi="Book Antiqua"/>
          <w:i/>
          <w:szCs w:val="24"/>
        </w:rPr>
        <w:t>“bags that are the same length or half the length of the linked round that the bag is intended to be u</w:t>
      </w:r>
      <w:r w:rsidR="00E54EEB" w:rsidRPr="00E54EEB">
        <w:rPr>
          <w:rFonts w:ascii="Book Antiqua" w:hAnsi="Book Antiqua"/>
          <w:i/>
          <w:szCs w:val="24"/>
        </w:rPr>
        <w:t>sed with may also be preferred”</w:t>
      </w:r>
      <w:r w:rsidR="00E54EEB">
        <w:rPr>
          <w:rFonts w:ascii="Book Antiqua" w:hAnsi="Book Antiqua"/>
          <w:szCs w:val="24"/>
        </w:rPr>
        <w:t xml:space="preserve">. </w:t>
      </w:r>
      <w:r w:rsidR="00FC2C7F">
        <w:rPr>
          <w:rFonts w:ascii="Book Antiqua" w:hAnsi="Book Antiqua"/>
          <w:szCs w:val="24"/>
        </w:rPr>
        <w:t>For that reason, in my view</w:t>
      </w:r>
      <w:r w:rsidR="00B70959">
        <w:rPr>
          <w:rFonts w:ascii="Book Antiqua" w:hAnsi="Book Antiqua"/>
          <w:szCs w:val="24"/>
        </w:rPr>
        <w:t>, the</w:t>
      </w:r>
      <w:r w:rsidR="00FC2C7F">
        <w:rPr>
          <w:rFonts w:ascii="Book Antiqua" w:hAnsi="Book Antiqua"/>
          <w:szCs w:val="24"/>
        </w:rPr>
        <w:t xml:space="preserve"> </w:t>
      </w:r>
      <w:r w:rsidR="006905AA">
        <w:rPr>
          <w:rFonts w:ascii="Book Antiqua" w:hAnsi="Book Antiqua"/>
          <w:szCs w:val="24"/>
        </w:rPr>
        <w:t>description of the</w:t>
      </w:r>
      <w:r w:rsidR="00FC2C7F">
        <w:rPr>
          <w:rFonts w:ascii="Book Antiqua" w:hAnsi="Book Antiqua"/>
          <w:szCs w:val="24"/>
        </w:rPr>
        <w:t xml:space="preserve"> method of folding the round with reference to the</w:t>
      </w:r>
      <w:r w:rsidR="006905AA">
        <w:rPr>
          <w:rFonts w:ascii="Book Antiqua" w:hAnsi="Book Antiqua"/>
          <w:szCs w:val="24"/>
        </w:rPr>
        <w:t xml:space="preserve"> diagram is </w:t>
      </w:r>
      <w:r w:rsidR="00FC2C7F">
        <w:rPr>
          <w:rFonts w:ascii="Book Antiqua" w:hAnsi="Book Antiqua"/>
          <w:szCs w:val="24"/>
        </w:rPr>
        <w:t xml:space="preserve">merely an example, relating to a 200 round link in a bag ¼ the length of the link, and is </w:t>
      </w:r>
      <w:r w:rsidR="006905AA">
        <w:rPr>
          <w:rFonts w:ascii="Book Antiqua" w:hAnsi="Book Antiqua"/>
          <w:szCs w:val="24"/>
        </w:rPr>
        <w:t xml:space="preserve">not </w:t>
      </w:r>
      <w:r w:rsidR="00E54EEB">
        <w:rPr>
          <w:rFonts w:ascii="Book Antiqua" w:hAnsi="Book Antiqua"/>
          <w:szCs w:val="24"/>
        </w:rPr>
        <w:t xml:space="preserve">intended to be </w:t>
      </w:r>
      <w:r w:rsidR="006905AA">
        <w:rPr>
          <w:rFonts w:ascii="Book Antiqua" w:hAnsi="Book Antiqua"/>
          <w:szCs w:val="24"/>
        </w:rPr>
        <w:t>mandatory.</w:t>
      </w:r>
    </w:p>
    <w:p w14:paraId="6C5265DA" w14:textId="35D2C1DC" w:rsidR="00F06A11" w:rsidRDefault="00F06A11" w:rsidP="009E4653">
      <w:pPr>
        <w:pStyle w:val="ParaLevel1"/>
        <w:rPr>
          <w:rFonts w:ascii="Book Antiqua" w:hAnsi="Book Antiqua"/>
          <w:szCs w:val="24"/>
        </w:rPr>
      </w:pPr>
      <w:r>
        <w:rPr>
          <w:rFonts w:ascii="Book Antiqua" w:hAnsi="Book Antiqua"/>
          <w:szCs w:val="24"/>
        </w:rPr>
        <w:t xml:space="preserve">For those reasons, </w:t>
      </w:r>
      <w:r w:rsidR="00E54EEB">
        <w:rPr>
          <w:rFonts w:ascii="Book Antiqua" w:hAnsi="Book Antiqua"/>
          <w:szCs w:val="24"/>
        </w:rPr>
        <w:t>I am satisfied that</w:t>
      </w:r>
      <w:r w:rsidR="00FF5A6A" w:rsidRPr="009D1DF1">
        <w:rPr>
          <w:rFonts w:ascii="Book Antiqua" w:hAnsi="Book Antiqua"/>
          <w:szCs w:val="24"/>
        </w:rPr>
        <w:t xml:space="preserve"> the 2017 Bag </w:t>
      </w:r>
      <w:r w:rsidR="008F7C10" w:rsidRPr="009D1DF1">
        <w:rPr>
          <w:rFonts w:ascii="Book Antiqua" w:hAnsi="Book Antiqua"/>
          <w:szCs w:val="24"/>
        </w:rPr>
        <w:t>achieve</w:t>
      </w:r>
      <w:r>
        <w:rPr>
          <w:rFonts w:ascii="Book Antiqua" w:hAnsi="Book Antiqua"/>
          <w:szCs w:val="24"/>
        </w:rPr>
        <w:t>s</w:t>
      </w:r>
      <w:r w:rsidR="008F7C10" w:rsidRPr="009D1DF1">
        <w:rPr>
          <w:rFonts w:ascii="Book Antiqua" w:hAnsi="Book Antiqua"/>
          <w:szCs w:val="24"/>
        </w:rPr>
        <w:t xml:space="preserve"> the same result</w:t>
      </w:r>
      <w:r>
        <w:rPr>
          <w:rFonts w:ascii="Book Antiqua" w:hAnsi="Book Antiqua"/>
          <w:szCs w:val="24"/>
        </w:rPr>
        <w:t xml:space="preserve"> in substantially the same way as the invention</w:t>
      </w:r>
      <w:r w:rsidR="005B6DC9">
        <w:rPr>
          <w:rFonts w:ascii="Book Antiqua" w:hAnsi="Book Antiqua"/>
          <w:szCs w:val="24"/>
        </w:rPr>
        <w:t xml:space="preserve">. </w:t>
      </w:r>
      <w:r>
        <w:rPr>
          <w:rFonts w:ascii="Book Antiqua" w:hAnsi="Book Antiqua"/>
          <w:szCs w:val="24"/>
        </w:rPr>
        <w:t>Both bags can be loaded horizontally and/or vertically and substantially the same result is achieved.</w:t>
      </w:r>
      <w:r w:rsidR="00242302">
        <w:rPr>
          <w:rFonts w:ascii="Book Antiqua" w:hAnsi="Book Antiqua"/>
          <w:szCs w:val="24"/>
        </w:rPr>
        <w:t xml:space="preserve"> In neither case is the openable closure necessary.</w:t>
      </w:r>
    </w:p>
    <w:p w14:paraId="03AE21D0" w14:textId="6A15DEAB" w:rsidR="00BE44BA" w:rsidRDefault="005B6DC9" w:rsidP="009E4653">
      <w:pPr>
        <w:pStyle w:val="ParaLevel1"/>
        <w:rPr>
          <w:rFonts w:ascii="Book Antiqua" w:hAnsi="Book Antiqua"/>
          <w:szCs w:val="24"/>
        </w:rPr>
      </w:pPr>
      <w:r>
        <w:rPr>
          <w:rFonts w:ascii="Book Antiqua" w:hAnsi="Book Antiqua"/>
          <w:szCs w:val="24"/>
        </w:rPr>
        <w:t>Even</w:t>
      </w:r>
      <w:r w:rsidR="004C2116">
        <w:rPr>
          <w:rFonts w:ascii="Book Antiqua" w:hAnsi="Book Antiqua"/>
          <w:szCs w:val="24"/>
        </w:rPr>
        <w:t xml:space="preserve"> if I am wrong in my analysis of the working of the invention, such that GB’116 teaches working the invention only by loading the Link-Tail horizontally, I am satisfied that</w:t>
      </w:r>
      <w:r>
        <w:rPr>
          <w:rFonts w:ascii="Book Antiqua" w:hAnsi="Book Antiqua"/>
          <w:szCs w:val="24"/>
        </w:rPr>
        <w:t xml:space="preserve"> the 2017 Bag </w:t>
      </w:r>
      <w:r w:rsidR="004C2116">
        <w:rPr>
          <w:rFonts w:ascii="Book Antiqua" w:hAnsi="Book Antiqua"/>
          <w:szCs w:val="24"/>
        </w:rPr>
        <w:t xml:space="preserve">loaded by vertical flaking </w:t>
      </w:r>
      <w:r>
        <w:rPr>
          <w:rFonts w:ascii="Book Antiqua" w:hAnsi="Book Antiqua"/>
          <w:szCs w:val="24"/>
        </w:rPr>
        <w:t xml:space="preserve">achieves substantially the same result </w:t>
      </w:r>
      <w:r w:rsidR="004C2116">
        <w:rPr>
          <w:rFonts w:ascii="Book Antiqua" w:hAnsi="Book Antiqua"/>
          <w:szCs w:val="24"/>
        </w:rPr>
        <w:t>i</w:t>
      </w:r>
      <w:r>
        <w:rPr>
          <w:rFonts w:ascii="Book Antiqua" w:hAnsi="Book Antiqua"/>
          <w:szCs w:val="24"/>
        </w:rPr>
        <w:t>n substantially the same way</w:t>
      </w:r>
      <w:r w:rsidR="004C2116">
        <w:rPr>
          <w:rFonts w:ascii="Book Antiqua" w:hAnsi="Book Antiqua"/>
          <w:szCs w:val="24"/>
        </w:rPr>
        <w:t xml:space="preserve"> as the Link-Tail loaded horizontally</w:t>
      </w:r>
      <w:r w:rsidR="00F06A11">
        <w:rPr>
          <w:rFonts w:ascii="Book Antiqua" w:hAnsi="Book Antiqua"/>
          <w:szCs w:val="24"/>
        </w:rPr>
        <w:t xml:space="preserve">, for the reasons I </w:t>
      </w:r>
      <w:r w:rsidR="00095320">
        <w:rPr>
          <w:rFonts w:ascii="Book Antiqua" w:hAnsi="Book Antiqua"/>
          <w:szCs w:val="24"/>
        </w:rPr>
        <w:t>have given</w:t>
      </w:r>
      <w:r w:rsidR="008F7C10" w:rsidRPr="009D1DF1">
        <w:rPr>
          <w:rFonts w:ascii="Book Antiqua" w:hAnsi="Book Antiqua"/>
          <w:szCs w:val="24"/>
        </w:rPr>
        <w:t>.</w:t>
      </w:r>
      <w:r w:rsidR="00F06A11">
        <w:rPr>
          <w:rFonts w:ascii="Book Antiqua" w:hAnsi="Book Antiqua"/>
          <w:szCs w:val="24"/>
        </w:rPr>
        <w:t xml:space="preserve"> It</w:t>
      </w:r>
      <w:r w:rsidR="004C2116">
        <w:rPr>
          <w:rFonts w:ascii="Book Antiqua" w:hAnsi="Book Antiqua"/>
          <w:szCs w:val="24"/>
        </w:rPr>
        <w:t xml:space="preserve"> </w:t>
      </w:r>
      <w:r w:rsidR="004C2116" w:rsidRPr="009D1DF1">
        <w:rPr>
          <w:rFonts w:ascii="Book Antiqua" w:hAnsi="Book Antiqua"/>
          <w:szCs w:val="24"/>
        </w:rPr>
        <w:t xml:space="preserve">allows for the convenient carriage of linked ammunition </w:t>
      </w:r>
      <w:r w:rsidR="004C2116" w:rsidRPr="004C2116">
        <w:rPr>
          <w:rFonts w:ascii="Book Antiqua" w:hAnsi="Book Antiqua"/>
          <w:szCs w:val="24"/>
        </w:rPr>
        <w:t>in a manner</w:t>
      </w:r>
      <w:r w:rsidR="004C2116">
        <w:rPr>
          <w:rFonts w:ascii="Book Antiqua" w:hAnsi="Book Antiqua"/>
          <w:i/>
          <w:szCs w:val="24"/>
        </w:rPr>
        <w:t xml:space="preserve"> </w:t>
      </w:r>
      <w:r w:rsidR="004C2116" w:rsidRPr="009D1DF1">
        <w:rPr>
          <w:rFonts w:ascii="Book Antiqua" w:hAnsi="Book Antiqua"/>
          <w:szCs w:val="24"/>
        </w:rPr>
        <w:t>which quickly enables the linked round to be directly fed into the gun and fired, without removing it from the bag</w:t>
      </w:r>
      <w:r w:rsidR="004C2116">
        <w:rPr>
          <w:rFonts w:ascii="Book Antiqua" w:hAnsi="Book Antiqua"/>
          <w:szCs w:val="24"/>
        </w:rPr>
        <w:t xml:space="preserve">, and </w:t>
      </w:r>
      <w:r w:rsidR="00095320">
        <w:rPr>
          <w:rFonts w:ascii="Book Antiqua" w:hAnsi="Book Antiqua"/>
          <w:szCs w:val="24"/>
        </w:rPr>
        <w:t>it is this ‘plug and play’ capability which I have found</w:t>
      </w:r>
      <w:r w:rsidR="004C2116">
        <w:rPr>
          <w:rFonts w:ascii="Book Antiqua" w:hAnsi="Book Antiqua"/>
          <w:szCs w:val="24"/>
        </w:rPr>
        <w:t xml:space="preserve"> is the inventive concept</w:t>
      </w:r>
      <w:r w:rsidR="00F06A11">
        <w:rPr>
          <w:rFonts w:ascii="Book Antiqua" w:hAnsi="Book Antiqua"/>
          <w:szCs w:val="24"/>
        </w:rPr>
        <w:t xml:space="preserve"> of </w:t>
      </w:r>
      <w:r w:rsidR="00242302">
        <w:rPr>
          <w:rFonts w:ascii="Book Antiqua" w:hAnsi="Book Antiqua"/>
          <w:szCs w:val="24"/>
        </w:rPr>
        <w:t>the invention</w:t>
      </w:r>
      <w:r w:rsidR="004C2116">
        <w:rPr>
          <w:rFonts w:ascii="Book Antiqua" w:hAnsi="Book Antiqua"/>
          <w:szCs w:val="24"/>
        </w:rPr>
        <w:t>.</w:t>
      </w:r>
      <w:r w:rsidR="00201F4C" w:rsidRPr="009D1DF1">
        <w:rPr>
          <w:rFonts w:ascii="Book Antiqua" w:hAnsi="Book Antiqua"/>
          <w:szCs w:val="24"/>
        </w:rPr>
        <w:t xml:space="preserve"> </w:t>
      </w:r>
    </w:p>
    <w:p w14:paraId="63C07B59" w14:textId="1B038B52" w:rsidR="00707792" w:rsidRDefault="00707792" w:rsidP="009E4653">
      <w:pPr>
        <w:pStyle w:val="ParaLevel1"/>
        <w:rPr>
          <w:rFonts w:ascii="Book Antiqua" w:hAnsi="Book Antiqua"/>
          <w:szCs w:val="24"/>
        </w:rPr>
      </w:pPr>
      <w:r>
        <w:rPr>
          <w:rFonts w:ascii="Book Antiqua" w:hAnsi="Book Antiqua"/>
          <w:szCs w:val="24"/>
        </w:rPr>
        <w:t xml:space="preserve">I note here that Source </w:t>
      </w:r>
      <w:r w:rsidR="000E05F4">
        <w:rPr>
          <w:rFonts w:ascii="Book Antiqua" w:hAnsi="Book Antiqua"/>
          <w:szCs w:val="24"/>
        </w:rPr>
        <w:t>seeks to rely on the non-binding opinion of the Hearing Officer, Mr Probert, in the</w:t>
      </w:r>
      <w:r>
        <w:rPr>
          <w:rFonts w:ascii="Book Antiqua" w:hAnsi="Book Antiqua"/>
          <w:szCs w:val="24"/>
        </w:rPr>
        <w:t xml:space="preserve"> IPO proceedings in answering this question. I</w:t>
      </w:r>
      <w:r w:rsidR="00D84C7E">
        <w:rPr>
          <w:rFonts w:ascii="Book Antiqua" w:hAnsi="Book Antiqua"/>
          <w:szCs w:val="24"/>
        </w:rPr>
        <w:t xml:space="preserve"> have already dealt with the submissions that go to the validity of the claim. However </w:t>
      </w:r>
      <w:r>
        <w:rPr>
          <w:rFonts w:ascii="Book Antiqua" w:hAnsi="Book Antiqua"/>
          <w:szCs w:val="24"/>
        </w:rPr>
        <w:t xml:space="preserve">Mr Longstaff </w:t>
      </w:r>
      <w:r w:rsidR="00D84C7E">
        <w:rPr>
          <w:rFonts w:ascii="Book Antiqua" w:hAnsi="Book Antiqua"/>
          <w:szCs w:val="24"/>
        </w:rPr>
        <w:t xml:space="preserve">also </w:t>
      </w:r>
      <w:r>
        <w:rPr>
          <w:rFonts w:ascii="Book Antiqua" w:hAnsi="Book Antiqua"/>
          <w:szCs w:val="24"/>
        </w:rPr>
        <w:t xml:space="preserve">highlights Excel’s own reliance on the openable closure as part of the invention, as identified at paras 35 and 50 of the IPO preliminary report: (a) to distinguish it from the prior art, which has no ‘openable closure’; and (b) to counter the issue of obviousness, stating that it would not be obvious to incorporate an additional opening that could potentially allow an ingress point for dirt and dust. He submits that by doing so, Excel has recognised at the IPO that the openable closure has real significance as part of the inventive concept and is inseparable </w:t>
      </w:r>
      <w:r w:rsidR="004467C3">
        <w:rPr>
          <w:rFonts w:ascii="Book Antiqua" w:hAnsi="Book Antiqua"/>
          <w:szCs w:val="24"/>
        </w:rPr>
        <w:t>from</w:t>
      </w:r>
      <w:r>
        <w:rPr>
          <w:rFonts w:ascii="Book Antiqua" w:hAnsi="Book Antiqua"/>
          <w:szCs w:val="24"/>
        </w:rPr>
        <w:t xml:space="preserve"> it</w:t>
      </w:r>
      <w:r w:rsidR="004467C3">
        <w:rPr>
          <w:rFonts w:ascii="Book Antiqua" w:hAnsi="Book Antiqua"/>
          <w:szCs w:val="24"/>
        </w:rPr>
        <w:t>,</w:t>
      </w:r>
      <w:r>
        <w:rPr>
          <w:rFonts w:ascii="Book Antiqua" w:hAnsi="Book Antiqua"/>
          <w:szCs w:val="24"/>
        </w:rPr>
        <w:t xml:space="preserve"> and so </w:t>
      </w:r>
      <w:r w:rsidR="004467C3">
        <w:rPr>
          <w:rFonts w:ascii="Book Antiqua" w:hAnsi="Book Antiqua"/>
          <w:szCs w:val="24"/>
        </w:rPr>
        <w:t>should the court.</w:t>
      </w:r>
      <w:r w:rsidR="00D84C7E">
        <w:rPr>
          <w:rFonts w:ascii="Book Antiqua" w:hAnsi="Book Antiqua"/>
          <w:szCs w:val="24"/>
        </w:rPr>
        <w:t xml:space="preserve"> Excel submits that it made a number of submissions distinguishing the invention from the prior art </w:t>
      </w:r>
      <w:r w:rsidR="00095320">
        <w:rPr>
          <w:rFonts w:ascii="Book Antiqua" w:hAnsi="Book Antiqua"/>
          <w:szCs w:val="24"/>
        </w:rPr>
        <w:t xml:space="preserve">and to counter the issue of obviousness, </w:t>
      </w:r>
      <w:r w:rsidR="00D84C7E">
        <w:rPr>
          <w:rFonts w:ascii="Book Antiqua" w:hAnsi="Book Antiqua"/>
          <w:szCs w:val="24"/>
        </w:rPr>
        <w:t>of which the open</w:t>
      </w:r>
      <w:r w:rsidR="00095320">
        <w:rPr>
          <w:rFonts w:ascii="Book Antiqua" w:hAnsi="Book Antiqua"/>
          <w:szCs w:val="24"/>
        </w:rPr>
        <w:t xml:space="preserve">able closure point was only one. </w:t>
      </w:r>
      <w:r w:rsidR="00B87067">
        <w:rPr>
          <w:rFonts w:ascii="Book Antiqua" w:hAnsi="Book Antiqua"/>
          <w:szCs w:val="24"/>
        </w:rPr>
        <w:t xml:space="preserve">It submits that it is not appropriate for the court to consider the IPO preliminary report where neither of the two criteria highlighted by Lord Neuberger at [88] of </w:t>
      </w:r>
      <w:r w:rsidR="00B87067" w:rsidRPr="00B87067">
        <w:rPr>
          <w:rFonts w:ascii="Book Antiqua" w:hAnsi="Book Antiqua"/>
          <w:i/>
          <w:szCs w:val="24"/>
        </w:rPr>
        <w:t>Actavis</w:t>
      </w:r>
      <w:r w:rsidR="00B87067">
        <w:rPr>
          <w:rFonts w:ascii="Book Antiqua" w:hAnsi="Book Antiqua"/>
          <w:szCs w:val="24"/>
        </w:rPr>
        <w:t xml:space="preserve"> apply: where the contents of the file unambiguously resolve the point, or (ii) it would be contrary to the public interest for the contents of the file to be ignored. I accept that submission. </w:t>
      </w:r>
      <w:r w:rsidR="00095320">
        <w:rPr>
          <w:rFonts w:ascii="Book Antiqua" w:hAnsi="Book Antiqua"/>
          <w:szCs w:val="24"/>
        </w:rPr>
        <w:t xml:space="preserve">In any event, even if the openable closure is </w:t>
      </w:r>
      <w:r w:rsidR="00B87067">
        <w:rPr>
          <w:rFonts w:ascii="Book Antiqua" w:hAnsi="Book Antiqua"/>
          <w:szCs w:val="24"/>
        </w:rPr>
        <w:t xml:space="preserve">adjudged </w:t>
      </w:r>
      <w:r w:rsidR="00095320">
        <w:rPr>
          <w:rFonts w:ascii="Book Antiqua" w:hAnsi="Book Antiqua"/>
          <w:szCs w:val="24"/>
        </w:rPr>
        <w:t xml:space="preserve">a significant part of the claim, to quote </w:t>
      </w:r>
      <w:r w:rsidR="00B70959">
        <w:rPr>
          <w:rFonts w:ascii="Book Antiqua" w:hAnsi="Book Antiqua"/>
          <w:szCs w:val="24"/>
        </w:rPr>
        <w:t xml:space="preserve">Lord </w:t>
      </w:r>
      <w:r w:rsidR="00095320">
        <w:rPr>
          <w:rFonts w:ascii="Book Antiqua" w:hAnsi="Book Antiqua"/>
          <w:szCs w:val="24"/>
        </w:rPr>
        <w:t xml:space="preserve">Neuberger at the end of [89] of </w:t>
      </w:r>
      <w:r w:rsidR="00B70959">
        <w:rPr>
          <w:rFonts w:ascii="Book Antiqua" w:hAnsi="Book Antiqua"/>
          <w:i/>
          <w:szCs w:val="24"/>
        </w:rPr>
        <w:t>Acta</w:t>
      </w:r>
      <w:r w:rsidR="00095320" w:rsidRPr="00095320">
        <w:rPr>
          <w:rFonts w:ascii="Book Antiqua" w:hAnsi="Book Antiqua"/>
          <w:i/>
          <w:szCs w:val="24"/>
        </w:rPr>
        <w:t>vis</w:t>
      </w:r>
      <w:r w:rsidR="00095320">
        <w:rPr>
          <w:rFonts w:ascii="Book Antiqua" w:hAnsi="Book Antiqua"/>
          <w:szCs w:val="24"/>
        </w:rPr>
        <w:t xml:space="preserve">: </w:t>
      </w:r>
      <w:r w:rsidR="00095320" w:rsidRPr="00B87067">
        <w:rPr>
          <w:rFonts w:ascii="Book Antiqua" w:hAnsi="Book Antiqua"/>
          <w:i/>
          <w:szCs w:val="24"/>
        </w:rPr>
        <w:t>“The whole point of the doctrine [of equivalents] is that it entitles a patentee to contend that the scope of the protection afforded by the patent extends beyond the ambit of its claims as construed according to the normal principles of interpretation”.</w:t>
      </w:r>
    </w:p>
    <w:p w14:paraId="061B927F" w14:textId="4A53D4FF" w:rsidR="002C4CEF" w:rsidRPr="009D1DF1" w:rsidRDefault="00BE44BA" w:rsidP="009E4653">
      <w:pPr>
        <w:pStyle w:val="ParaLevel1"/>
        <w:rPr>
          <w:rFonts w:ascii="Book Antiqua" w:hAnsi="Book Antiqua"/>
          <w:szCs w:val="24"/>
        </w:rPr>
      </w:pPr>
      <w:r w:rsidRPr="009D1DF1">
        <w:rPr>
          <w:rFonts w:ascii="Book Antiqua" w:hAnsi="Book Antiqua"/>
          <w:szCs w:val="24"/>
        </w:rPr>
        <w:t>Accordingly, t</w:t>
      </w:r>
      <w:r w:rsidR="00FF5A6A" w:rsidRPr="009D1DF1">
        <w:rPr>
          <w:rFonts w:ascii="Book Antiqua" w:hAnsi="Book Antiqua"/>
          <w:szCs w:val="24"/>
        </w:rPr>
        <w:t xml:space="preserve">he answer to </w:t>
      </w:r>
      <w:r w:rsidRPr="009D1DF1">
        <w:rPr>
          <w:rFonts w:ascii="Book Antiqua" w:hAnsi="Book Antiqua"/>
          <w:szCs w:val="24"/>
        </w:rPr>
        <w:t xml:space="preserve">the first </w:t>
      </w:r>
      <w:r w:rsidRPr="009D1DF1">
        <w:rPr>
          <w:rFonts w:ascii="Book Antiqua" w:hAnsi="Book Antiqua"/>
          <w:i/>
          <w:szCs w:val="24"/>
        </w:rPr>
        <w:t>Actavis</w:t>
      </w:r>
      <w:r w:rsidR="00FF5A6A" w:rsidRPr="009D1DF1">
        <w:rPr>
          <w:rFonts w:ascii="Book Antiqua" w:hAnsi="Book Antiqua"/>
          <w:szCs w:val="24"/>
        </w:rPr>
        <w:t xml:space="preserve"> question is ‘Yes’. </w:t>
      </w:r>
      <w:r w:rsidR="00201F4C" w:rsidRPr="009D1DF1">
        <w:rPr>
          <w:rFonts w:ascii="Book Antiqua" w:hAnsi="Book Antiqua"/>
          <w:szCs w:val="24"/>
        </w:rPr>
        <w:t xml:space="preserve">Per Lord Neuberger at [60] of </w:t>
      </w:r>
      <w:r w:rsidR="00201F4C" w:rsidRPr="007E6A3C">
        <w:rPr>
          <w:rFonts w:ascii="Book Antiqua" w:hAnsi="Book Antiqua"/>
          <w:i/>
          <w:szCs w:val="24"/>
        </w:rPr>
        <w:t>Actavis</w:t>
      </w:r>
      <w:r w:rsidR="00201F4C" w:rsidRPr="009D1DF1">
        <w:rPr>
          <w:rFonts w:ascii="Book Antiqua" w:hAnsi="Book Antiqua"/>
          <w:szCs w:val="24"/>
        </w:rPr>
        <w:t>, this provides a sound initial basis for concluding that the variant may infringe, but the answer should not be the end of the matter.</w:t>
      </w:r>
    </w:p>
    <w:p w14:paraId="26DFFFF3" w14:textId="775B48E5" w:rsidR="00CC0218" w:rsidRPr="009D1DF1" w:rsidRDefault="00CC0218" w:rsidP="009E4653">
      <w:pPr>
        <w:pStyle w:val="ParaLevel1"/>
        <w:numPr>
          <w:ilvl w:val="0"/>
          <w:numId w:val="0"/>
        </w:numPr>
        <w:ind w:left="142"/>
        <w:rPr>
          <w:rFonts w:ascii="Book Antiqua" w:hAnsi="Book Antiqua"/>
          <w:b/>
          <w:i/>
          <w:szCs w:val="24"/>
        </w:rPr>
      </w:pPr>
      <w:r w:rsidRPr="009D1DF1">
        <w:rPr>
          <w:rFonts w:ascii="Book Antiqua" w:hAnsi="Book Antiqua"/>
          <w:b/>
          <w:i/>
          <w:szCs w:val="24"/>
        </w:rPr>
        <w:t>Q2 Would it be obvious to the person skilled in the art, reading the patent at the priority date, but knowing that the variant achieves substantially the same result as the invention, that it does so in substantially the same way as the invention?</w:t>
      </w:r>
    </w:p>
    <w:p w14:paraId="62FDD6D3" w14:textId="4AEAFF4A" w:rsidR="00214873" w:rsidRDefault="0048767B" w:rsidP="009E4653">
      <w:pPr>
        <w:pStyle w:val="ParaLevel1"/>
        <w:rPr>
          <w:rFonts w:ascii="Book Antiqua" w:hAnsi="Book Antiqua"/>
          <w:szCs w:val="24"/>
        </w:rPr>
      </w:pPr>
      <w:r>
        <w:rPr>
          <w:rFonts w:ascii="Book Antiqua" w:hAnsi="Book Antiqua"/>
          <w:szCs w:val="24"/>
        </w:rPr>
        <w:t>This requires identification of the person skilled in the art</w:t>
      </w:r>
      <w:r w:rsidR="00F06A11">
        <w:rPr>
          <w:rFonts w:ascii="Book Antiqua" w:hAnsi="Book Antiqua"/>
          <w:szCs w:val="24"/>
        </w:rPr>
        <w:t>, and I find that is a person who has the skills and experience to assess military equipment</w:t>
      </w:r>
      <w:r w:rsidR="00E60827">
        <w:rPr>
          <w:rFonts w:ascii="Book Antiqua" w:hAnsi="Book Antiqua"/>
          <w:szCs w:val="24"/>
        </w:rPr>
        <w:t>, including understanding the requirements for such equipment to operate in theatre</w:t>
      </w:r>
      <w:r>
        <w:rPr>
          <w:rFonts w:ascii="Book Antiqua" w:hAnsi="Book Antiqua"/>
          <w:szCs w:val="24"/>
        </w:rPr>
        <w:t>. Excel submits that</w:t>
      </w:r>
      <w:r w:rsidR="00707792">
        <w:rPr>
          <w:rFonts w:ascii="Book Antiqua" w:hAnsi="Book Antiqua"/>
          <w:szCs w:val="24"/>
        </w:rPr>
        <w:t>:</w:t>
      </w:r>
      <w:r>
        <w:rPr>
          <w:rFonts w:ascii="Book Antiqua" w:hAnsi="Book Antiqua"/>
          <w:szCs w:val="24"/>
        </w:rPr>
        <w:t xml:space="preserve"> </w:t>
      </w:r>
      <w:r w:rsidR="00207A9B">
        <w:rPr>
          <w:rFonts w:ascii="Book Antiqua" w:hAnsi="Book Antiqua"/>
          <w:szCs w:val="24"/>
        </w:rPr>
        <w:t>those who wrote the</w:t>
      </w:r>
      <w:r w:rsidR="00F53419">
        <w:rPr>
          <w:rFonts w:ascii="Book Antiqua" w:hAnsi="Book Antiqua"/>
          <w:szCs w:val="24"/>
        </w:rPr>
        <w:t xml:space="preserve"> URBEX 2012 trial</w:t>
      </w:r>
      <w:r>
        <w:rPr>
          <w:rFonts w:ascii="Book Antiqua" w:hAnsi="Book Antiqua"/>
          <w:szCs w:val="24"/>
        </w:rPr>
        <w:t xml:space="preserve"> </w:t>
      </w:r>
      <w:r w:rsidR="00214873">
        <w:rPr>
          <w:rFonts w:ascii="Book Antiqua" w:hAnsi="Book Antiqua"/>
          <w:szCs w:val="24"/>
        </w:rPr>
        <w:t xml:space="preserve">report </w:t>
      </w:r>
      <w:r>
        <w:rPr>
          <w:rFonts w:ascii="Book Antiqua" w:hAnsi="Book Antiqua"/>
          <w:szCs w:val="24"/>
        </w:rPr>
        <w:t>stands proxy to such a person</w:t>
      </w:r>
      <w:r w:rsidR="00214873">
        <w:rPr>
          <w:rFonts w:ascii="Book Antiqua" w:hAnsi="Book Antiqua"/>
          <w:szCs w:val="24"/>
        </w:rPr>
        <w:t>, because it is near contemporaneous with the filing date of GB‘116 and was conducted by individuals who were, effectively, employed to be persons skilled in the art</w:t>
      </w:r>
      <w:r w:rsidR="00FC2C7F">
        <w:rPr>
          <w:rFonts w:ascii="Book Antiqua" w:hAnsi="Book Antiqua"/>
          <w:szCs w:val="24"/>
        </w:rPr>
        <w:t>.</w:t>
      </w:r>
      <w:r w:rsidR="00207A9B">
        <w:rPr>
          <w:rFonts w:ascii="Book Antiqua" w:hAnsi="Book Antiqua"/>
          <w:szCs w:val="24"/>
        </w:rPr>
        <w:t xml:space="preserve"> It submits that it would be obvious to those people, reading the patent at the priority date, and also considering the 2017 Bag knowing that it produced substantially the same result,  that it did so in substantially the same way. </w:t>
      </w:r>
    </w:p>
    <w:p w14:paraId="3BC56EC1" w14:textId="6E528DA3" w:rsidR="008F7C10" w:rsidRDefault="00207A9B" w:rsidP="009E4653">
      <w:pPr>
        <w:pStyle w:val="ParaLevel1"/>
        <w:rPr>
          <w:rFonts w:ascii="Book Antiqua" w:hAnsi="Book Antiqua"/>
          <w:szCs w:val="24"/>
        </w:rPr>
      </w:pPr>
      <w:r>
        <w:rPr>
          <w:rFonts w:ascii="Book Antiqua" w:hAnsi="Book Antiqua"/>
          <w:szCs w:val="24"/>
        </w:rPr>
        <w:t>I remind myself</w:t>
      </w:r>
      <w:r w:rsidR="00214873">
        <w:rPr>
          <w:rFonts w:ascii="Book Antiqua" w:hAnsi="Book Antiqua"/>
          <w:szCs w:val="24"/>
        </w:rPr>
        <w:t xml:space="preserve"> that </w:t>
      </w:r>
      <w:r w:rsidR="009B63A2">
        <w:rPr>
          <w:rFonts w:ascii="Book Antiqua" w:hAnsi="Book Antiqua"/>
          <w:szCs w:val="24"/>
        </w:rPr>
        <w:t>the URBEX 2012 report noted that there was no in-service equipment to compare the Link-Tail to</w:t>
      </w:r>
      <w:r>
        <w:rPr>
          <w:rFonts w:ascii="Book Antiqua" w:hAnsi="Book Antiqua"/>
          <w:szCs w:val="24"/>
        </w:rPr>
        <w:t xml:space="preserve"> a</w:t>
      </w:r>
      <w:r w:rsidR="0050131A">
        <w:rPr>
          <w:rFonts w:ascii="Book Antiqua" w:hAnsi="Book Antiqua"/>
          <w:szCs w:val="24"/>
        </w:rPr>
        <w:t>t</w:t>
      </w:r>
      <w:r>
        <w:rPr>
          <w:rFonts w:ascii="Book Antiqua" w:hAnsi="Book Antiqua"/>
          <w:szCs w:val="24"/>
        </w:rPr>
        <w:t xml:space="preserve"> that time</w:t>
      </w:r>
      <w:r w:rsidR="009B63A2">
        <w:rPr>
          <w:rFonts w:ascii="Book Antiqua" w:hAnsi="Book Antiqua"/>
          <w:szCs w:val="24"/>
        </w:rPr>
        <w:t>, and praised its simplicity</w:t>
      </w:r>
      <w:r>
        <w:rPr>
          <w:rFonts w:ascii="Book Antiqua" w:hAnsi="Book Antiqua"/>
          <w:szCs w:val="24"/>
        </w:rPr>
        <w:t xml:space="preserve">. Mr Maclean says that he was told that feedback from users included surprise that nobody had thought of it before. </w:t>
      </w:r>
      <w:r w:rsidR="0050131A">
        <w:rPr>
          <w:rFonts w:ascii="Book Antiqua" w:hAnsi="Book Antiqua"/>
          <w:szCs w:val="24"/>
        </w:rPr>
        <w:t xml:space="preserve">Taking all of this into account, and looking through the eyes of the persons skilled in the art, </w:t>
      </w:r>
      <w:r>
        <w:rPr>
          <w:rFonts w:ascii="Book Antiqua" w:hAnsi="Book Antiqua"/>
          <w:szCs w:val="24"/>
        </w:rPr>
        <w:t>I accept Excel’s submission</w:t>
      </w:r>
      <w:r w:rsidR="0050131A">
        <w:rPr>
          <w:rFonts w:ascii="Book Antiqua" w:hAnsi="Book Antiqua"/>
          <w:szCs w:val="24"/>
        </w:rPr>
        <w:t>. I consider that the skilled user would consider that it was obvious that the 2017 Bag</w:t>
      </w:r>
      <w:r w:rsidR="00BE44BA" w:rsidRPr="009D1DF1">
        <w:rPr>
          <w:rFonts w:ascii="Book Antiqua" w:hAnsi="Book Antiqua"/>
          <w:szCs w:val="24"/>
        </w:rPr>
        <w:t xml:space="preserve"> </w:t>
      </w:r>
      <w:r w:rsidR="0050131A">
        <w:rPr>
          <w:rFonts w:ascii="Book Antiqua" w:hAnsi="Book Antiqua"/>
          <w:szCs w:val="24"/>
        </w:rPr>
        <w:t>simply utilised</w:t>
      </w:r>
      <w:r w:rsidR="00012EE7" w:rsidRPr="009D1DF1">
        <w:rPr>
          <w:rFonts w:ascii="Book Antiqua" w:hAnsi="Book Antiqua"/>
          <w:szCs w:val="24"/>
        </w:rPr>
        <w:t xml:space="preserve"> a method of </w:t>
      </w:r>
      <w:r w:rsidR="00214873">
        <w:rPr>
          <w:rFonts w:ascii="Book Antiqua" w:hAnsi="Book Antiqua"/>
          <w:szCs w:val="24"/>
        </w:rPr>
        <w:t xml:space="preserve">loading </w:t>
      </w:r>
      <w:r w:rsidR="00012EE7" w:rsidRPr="009D1DF1">
        <w:rPr>
          <w:rFonts w:ascii="Book Antiqua" w:hAnsi="Book Antiqua"/>
          <w:szCs w:val="24"/>
        </w:rPr>
        <w:t>the linked round</w:t>
      </w:r>
      <w:r w:rsidR="00214873">
        <w:rPr>
          <w:rFonts w:ascii="Book Antiqua" w:hAnsi="Book Antiqua"/>
          <w:szCs w:val="24"/>
        </w:rPr>
        <w:t xml:space="preserve"> which does not require </w:t>
      </w:r>
      <w:r w:rsidR="009B63A2">
        <w:rPr>
          <w:rFonts w:ascii="Book Antiqua" w:hAnsi="Book Antiqua"/>
          <w:szCs w:val="24"/>
        </w:rPr>
        <w:t>an openable closure</w:t>
      </w:r>
      <w:r w:rsidR="0050131A">
        <w:rPr>
          <w:rFonts w:ascii="Book Antiqua" w:hAnsi="Book Antiqua"/>
          <w:szCs w:val="24"/>
        </w:rPr>
        <w:t>, and that the same method of loading could be used in the invention, without utilising the zip</w:t>
      </w:r>
      <w:r w:rsidR="00012EE7" w:rsidRPr="009D1DF1">
        <w:rPr>
          <w:rFonts w:ascii="Book Antiqua" w:hAnsi="Book Antiqua"/>
          <w:szCs w:val="24"/>
        </w:rPr>
        <w:t>.</w:t>
      </w:r>
      <w:r w:rsidR="006A135F" w:rsidRPr="009D1DF1">
        <w:rPr>
          <w:rFonts w:ascii="Book Antiqua" w:hAnsi="Book Antiqua"/>
          <w:szCs w:val="24"/>
        </w:rPr>
        <w:t xml:space="preserve"> </w:t>
      </w:r>
    </w:p>
    <w:p w14:paraId="2DB6F374" w14:textId="527BD61E" w:rsidR="00B87067" w:rsidRPr="009D1DF1" w:rsidRDefault="00B87067" w:rsidP="009E4653">
      <w:pPr>
        <w:pStyle w:val="ParaLevel1"/>
        <w:rPr>
          <w:rFonts w:ascii="Book Antiqua" w:hAnsi="Book Antiqua"/>
          <w:szCs w:val="24"/>
        </w:rPr>
      </w:pPr>
      <w:r>
        <w:rPr>
          <w:rFonts w:ascii="Book Antiqua" w:hAnsi="Book Antiqua"/>
          <w:szCs w:val="24"/>
        </w:rPr>
        <w:t xml:space="preserve">Accordingly the answer to the second </w:t>
      </w:r>
      <w:r w:rsidRPr="00B87067">
        <w:rPr>
          <w:rFonts w:ascii="Book Antiqua" w:hAnsi="Book Antiqua"/>
          <w:i/>
          <w:szCs w:val="24"/>
        </w:rPr>
        <w:t>Actavis</w:t>
      </w:r>
      <w:r>
        <w:rPr>
          <w:rFonts w:ascii="Book Antiqua" w:hAnsi="Book Antiqua"/>
          <w:szCs w:val="24"/>
        </w:rPr>
        <w:t xml:space="preserve"> question is ‘Yes’.</w:t>
      </w:r>
    </w:p>
    <w:p w14:paraId="04087C05" w14:textId="4ADADAC4" w:rsidR="00CC0218" w:rsidRPr="009D1DF1" w:rsidRDefault="00CC0218" w:rsidP="009E4653">
      <w:pPr>
        <w:pStyle w:val="ParaLevel1"/>
        <w:numPr>
          <w:ilvl w:val="0"/>
          <w:numId w:val="0"/>
        </w:numPr>
        <w:ind w:left="142"/>
        <w:rPr>
          <w:rFonts w:ascii="Book Antiqua" w:hAnsi="Book Antiqua"/>
          <w:b/>
          <w:i/>
          <w:szCs w:val="24"/>
        </w:rPr>
      </w:pPr>
      <w:r w:rsidRPr="009D1DF1">
        <w:rPr>
          <w:rFonts w:ascii="Book Antiqua" w:hAnsi="Book Antiqua"/>
          <w:b/>
          <w:i/>
          <w:szCs w:val="24"/>
        </w:rPr>
        <w:t>Q3 Would such a reader of the patent have concluded that the patentee nonetheless intended that strict compliance with the literal meaning of the relevant claim(s) of the patent was an essential requirement of the invention?</w:t>
      </w:r>
    </w:p>
    <w:p w14:paraId="64E67275" w14:textId="265A67E5" w:rsidR="00CC0218" w:rsidRDefault="009B63A2" w:rsidP="009E4653">
      <w:pPr>
        <w:pStyle w:val="ParaLevel1"/>
        <w:rPr>
          <w:rFonts w:ascii="Book Antiqua" w:hAnsi="Book Antiqua"/>
          <w:szCs w:val="24"/>
        </w:rPr>
      </w:pPr>
      <w:r>
        <w:rPr>
          <w:rFonts w:ascii="Book Antiqua" w:hAnsi="Book Antiqua"/>
          <w:szCs w:val="24"/>
        </w:rPr>
        <w:t>For the reasons I have given, I am satisfied that the skilled person would not have concluded that the patentee intended that the openable closure was an essential requirement of the invention.</w:t>
      </w:r>
      <w:r w:rsidR="0050131A">
        <w:rPr>
          <w:rFonts w:ascii="Book Antiqua" w:hAnsi="Book Antiqua"/>
          <w:szCs w:val="24"/>
        </w:rPr>
        <w:t xml:space="preserve"> </w:t>
      </w:r>
    </w:p>
    <w:p w14:paraId="73D22A37" w14:textId="6945831B" w:rsidR="00B87067" w:rsidRDefault="00B87067" w:rsidP="009E4653">
      <w:pPr>
        <w:pStyle w:val="ParaLevel1"/>
        <w:rPr>
          <w:rFonts w:ascii="Book Antiqua" w:hAnsi="Book Antiqua"/>
          <w:szCs w:val="24"/>
        </w:rPr>
      </w:pPr>
      <w:r>
        <w:rPr>
          <w:rFonts w:ascii="Book Antiqua" w:hAnsi="Book Antiqua"/>
          <w:szCs w:val="24"/>
        </w:rPr>
        <w:t xml:space="preserve">Accordingly, the answer to the third </w:t>
      </w:r>
      <w:r w:rsidRPr="00B87067">
        <w:rPr>
          <w:rFonts w:ascii="Book Antiqua" w:hAnsi="Book Antiqua"/>
          <w:i/>
          <w:szCs w:val="24"/>
        </w:rPr>
        <w:t>Actavis</w:t>
      </w:r>
      <w:r>
        <w:rPr>
          <w:rFonts w:ascii="Book Antiqua" w:hAnsi="Book Antiqua"/>
          <w:szCs w:val="24"/>
        </w:rPr>
        <w:t xml:space="preserve"> question is ‘No’.</w:t>
      </w:r>
    </w:p>
    <w:p w14:paraId="30F5FB3A" w14:textId="742C7A1C" w:rsidR="00080CFB" w:rsidRPr="00080CFB" w:rsidRDefault="00080CFB" w:rsidP="009E4653">
      <w:pPr>
        <w:pStyle w:val="ParaLevel1"/>
        <w:numPr>
          <w:ilvl w:val="0"/>
          <w:numId w:val="0"/>
        </w:numPr>
        <w:ind w:left="142"/>
        <w:rPr>
          <w:rFonts w:ascii="Book Antiqua" w:hAnsi="Book Antiqua"/>
          <w:b/>
          <w:i/>
          <w:szCs w:val="24"/>
        </w:rPr>
      </w:pPr>
      <w:r w:rsidRPr="00080CFB">
        <w:rPr>
          <w:rFonts w:ascii="Book Antiqua" w:hAnsi="Book Antiqua"/>
          <w:b/>
          <w:i/>
          <w:szCs w:val="24"/>
        </w:rPr>
        <w:t>Conclusion</w:t>
      </w:r>
    </w:p>
    <w:p w14:paraId="67B3B4D0" w14:textId="35C338F7" w:rsidR="00080CFB" w:rsidRPr="009D1DF1" w:rsidRDefault="00080CFB" w:rsidP="009E4653">
      <w:pPr>
        <w:pStyle w:val="ParaLevel1"/>
        <w:rPr>
          <w:rFonts w:ascii="Book Antiqua" w:hAnsi="Book Antiqua"/>
          <w:szCs w:val="24"/>
        </w:rPr>
      </w:pPr>
      <w:r>
        <w:rPr>
          <w:rFonts w:ascii="Book Antiqua" w:hAnsi="Book Antiqua"/>
          <w:szCs w:val="24"/>
        </w:rPr>
        <w:t xml:space="preserve">As the answer to the first two </w:t>
      </w:r>
      <w:r w:rsidRPr="00B87067">
        <w:rPr>
          <w:rFonts w:ascii="Book Antiqua" w:hAnsi="Book Antiqua"/>
          <w:i/>
          <w:szCs w:val="24"/>
        </w:rPr>
        <w:t>Actavis</w:t>
      </w:r>
      <w:r>
        <w:rPr>
          <w:rFonts w:ascii="Book Antiqua" w:hAnsi="Book Antiqua"/>
          <w:szCs w:val="24"/>
        </w:rPr>
        <w:t xml:space="preserve"> questions is ‘yes’ and the answer to the third is ‘no’, I conclude that Source is not entitled to the declaration of non-infring</w:t>
      </w:r>
      <w:r w:rsidR="002C557B">
        <w:rPr>
          <w:rFonts w:ascii="Book Antiqua" w:hAnsi="Book Antiqua"/>
          <w:szCs w:val="24"/>
        </w:rPr>
        <w:t>e</w:t>
      </w:r>
      <w:r>
        <w:rPr>
          <w:rFonts w:ascii="Book Antiqua" w:hAnsi="Book Antiqua"/>
          <w:szCs w:val="24"/>
        </w:rPr>
        <w:t>ment that it seeks</w:t>
      </w:r>
      <w:r w:rsidR="0050131A">
        <w:rPr>
          <w:rFonts w:ascii="Book Antiqua" w:hAnsi="Book Antiqua"/>
          <w:szCs w:val="24"/>
        </w:rPr>
        <w:t>, and the 2017 Bag fall</w:t>
      </w:r>
      <w:r w:rsidR="00B70959">
        <w:rPr>
          <w:rFonts w:ascii="Book Antiqua" w:hAnsi="Book Antiqua"/>
          <w:szCs w:val="24"/>
        </w:rPr>
        <w:t>s within the footprint of GB’116</w:t>
      </w:r>
      <w:r>
        <w:rPr>
          <w:rFonts w:ascii="Book Antiqua" w:hAnsi="Book Antiqua"/>
          <w:szCs w:val="24"/>
        </w:rPr>
        <w:t xml:space="preserve">. </w:t>
      </w:r>
    </w:p>
    <w:p w14:paraId="336229C3" w14:textId="6E80FAB8" w:rsidR="00B35D4D" w:rsidRPr="00DA04EE" w:rsidRDefault="00B35D4D" w:rsidP="009E4653">
      <w:pPr>
        <w:pStyle w:val="ParaLevel1"/>
        <w:numPr>
          <w:ilvl w:val="0"/>
          <w:numId w:val="0"/>
        </w:numPr>
        <w:ind w:left="142"/>
        <w:rPr>
          <w:rFonts w:ascii="Book Antiqua" w:hAnsi="Book Antiqua"/>
          <w:b/>
          <w:i/>
        </w:rPr>
      </w:pPr>
      <w:r w:rsidRPr="00DA04EE">
        <w:rPr>
          <w:rFonts w:ascii="Book Antiqua" w:hAnsi="Book Antiqua"/>
          <w:b/>
          <w:i/>
        </w:rPr>
        <w:t>Issue (</w:t>
      </w:r>
      <w:r>
        <w:rPr>
          <w:rFonts w:ascii="Book Antiqua" w:hAnsi="Book Antiqua"/>
          <w:b/>
          <w:i/>
        </w:rPr>
        <w:t>i</w:t>
      </w:r>
      <w:r w:rsidRPr="00DA04EE">
        <w:rPr>
          <w:rFonts w:ascii="Book Antiqua" w:hAnsi="Book Antiqua"/>
          <w:b/>
          <w:i/>
        </w:rPr>
        <w:t xml:space="preserve">i) – Is the 2017 Bag royalty bearing? </w:t>
      </w:r>
    </w:p>
    <w:p w14:paraId="6564BE53" w14:textId="4B415FEA" w:rsidR="00CC0218" w:rsidRDefault="00B35D4D" w:rsidP="009E4653">
      <w:pPr>
        <w:pStyle w:val="ParaLevel1"/>
        <w:rPr>
          <w:rFonts w:ascii="Book Antiqua" w:hAnsi="Book Antiqua"/>
        </w:rPr>
      </w:pPr>
      <w:r w:rsidRPr="009D1DF1">
        <w:rPr>
          <w:rFonts w:ascii="Book Antiqua" w:hAnsi="Book Antiqua"/>
          <w:szCs w:val="24"/>
        </w:rPr>
        <w:t>Source</w:t>
      </w:r>
      <w:r>
        <w:rPr>
          <w:rFonts w:ascii="Book Antiqua" w:hAnsi="Book Antiqua"/>
          <w:szCs w:val="24"/>
        </w:rPr>
        <w:t xml:space="preserve"> accepts</w:t>
      </w:r>
      <w:r w:rsidRPr="009D1DF1">
        <w:rPr>
          <w:rFonts w:ascii="Book Antiqua" w:hAnsi="Book Antiqua"/>
          <w:szCs w:val="24"/>
        </w:rPr>
        <w:t xml:space="preserve"> that Clause 3 </w:t>
      </w:r>
      <w:r w:rsidR="00653CFF">
        <w:rPr>
          <w:rFonts w:ascii="Book Antiqua" w:hAnsi="Book Antiqua"/>
          <w:szCs w:val="24"/>
        </w:rPr>
        <w:t xml:space="preserve">of the Licence Agreement </w:t>
      </w:r>
      <w:r w:rsidRPr="009D1DF1">
        <w:rPr>
          <w:rFonts w:ascii="Book Antiqua" w:hAnsi="Book Antiqua"/>
          <w:szCs w:val="24"/>
        </w:rPr>
        <w:t>should be interpreted as extending to changes and reconfigu</w:t>
      </w:r>
      <w:r w:rsidR="0050131A">
        <w:rPr>
          <w:rFonts w:ascii="Book Antiqua" w:hAnsi="Book Antiqua"/>
          <w:szCs w:val="24"/>
        </w:rPr>
        <w:t xml:space="preserve">rations that generate a product </w:t>
      </w:r>
      <w:r w:rsidRPr="009D1DF1">
        <w:rPr>
          <w:rFonts w:ascii="Book Antiqua" w:hAnsi="Book Antiqua"/>
          <w:szCs w:val="24"/>
        </w:rPr>
        <w:t>which falls within the footprint of GB’116.</w:t>
      </w:r>
      <w:r>
        <w:rPr>
          <w:rFonts w:ascii="Book Antiqua" w:hAnsi="Book Antiqua"/>
          <w:szCs w:val="24"/>
        </w:rPr>
        <w:t xml:space="preserve"> Accordingly, </w:t>
      </w:r>
      <w:r>
        <w:rPr>
          <w:rFonts w:ascii="Book Antiqua" w:hAnsi="Book Antiqua"/>
        </w:rPr>
        <w:t xml:space="preserve">the effect of my finding </w:t>
      </w:r>
      <w:r w:rsidR="002C557B">
        <w:rPr>
          <w:rFonts w:ascii="Book Antiqua" w:hAnsi="Book Antiqua"/>
        </w:rPr>
        <w:t>that Source is not entitled to a declaration of non-infringement of GB’116</w:t>
      </w:r>
      <w:r>
        <w:rPr>
          <w:rFonts w:ascii="Book Antiqua" w:hAnsi="Book Antiqua"/>
        </w:rPr>
        <w:t xml:space="preserve"> is that the 2017 Bag is royalty bearing</w:t>
      </w:r>
      <w:r w:rsidR="00B87BF3">
        <w:rPr>
          <w:rFonts w:ascii="Book Antiqua" w:hAnsi="Book Antiqua"/>
        </w:rPr>
        <w:t>. This is so</w:t>
      </w:r>
      <w:r w:rsidR="00653CFF">
        <w:rPr>
          <w:rFonts w:ascii="Book Antiqua" w:hAnsi="Book Antiqua"/>
        </w:rPr>
        <w:t xml:space="preserve"> whether or not GB’116 is eventually determined by the IPO to be valid</w:t>
      </w:r>
      <w:r w:rsidR="00B87BF3">
        <w:rPr>
          <w:rFonts w:ascii="Book Antiqua" w:hAnsi="Book Antiqua"/>
        </w:rPr>
        <w:t>, as</w:t>
      </w:r>
      <w:r w:rsidR="00653CFF">
        <w:rPr>
          <w:rFonts w:ascii="Book Antiqua" w:hAnsi="Book Antiqua"/>
        </w:rPr>
        <w:t xml:space="preserve"> Clause 9.5 of the Licence Agreement provides that </w:t>
      </w:r>
      <w:r w:rsidR="00653CFF" w:rsidRPr="00653CFF">
        <w:rPr>
          <w:rFonts w:ascii="Book Antiqua" w:hAnsi="Book Antiqua"/>
          <w:i/>
        </w:rPr>
        <w:t>“Nothing in this agreement shall constitute any representation or warranty that: (a) any patent is valid or relevant to the Licensed Product</w:t>
      </w:r>
      <w:r w:rsidR="00B87BF3">
        <w:rPr>
          <w:rFonts w:ascii="Book Antiqua" w:hAnsi="Book Antiqua"/>
          <w:i/>
        </w:rPr>
        <w:t>…</w:t>
      </w:r>
      <w:r w:rsidR="00653CFF" w:rsidRPr="00653CFF">
        <w:rPr>
          <w:rFonts w:ascii="Book Antiqua" w:hAnsi="Book Antiqua"/>
          <w:i/>
        </w:rPr>
        <w:t>”</w:t>
      </w:r>
      <w:r>
        <w:rPr>
          <w:rFonts w:ascii="Book Antiqua" w:hAnsi="Book Antiqua"/>
        </w:rPr>
        <w:t xml:space="preserve">. </w:t>
      </w:r>
    </w:p>
    <w:p w14:paraId="24CD74F8" w14:textId="197C21A7" w:rsidR="00653CFF" w:rsidRPr="00080CFB" w:rsidRDefault="00653CFF" w:rsidP="009E4653">
      <w:pPr>
        <w:pStyle w:val="ParaLevel1"/>
        <w:rPr>
          <w:rFonts w:ascii="Book Antiqua" w:hAnsi="Book Antiqua"/>
        </w:rPr>
      </w:pPr>
      <w:r>
        <w:rPr>
          <w:rFonts w:ascii="Book Antiqua" w:hAnsi="Book Antiqua"/>
        </w:rPr>
        <w:t xml:space="preserve">For those reasons I </w:t>
      </w:r>
      <w:r w:rsidR="006044E7">
        <w:rPr>
          <w:rFonts w:ascii="Book Antiqua" w:hAnsi="Book Antiqua"/>
        </w:rPr>
        <w:t>will not</w:t>
      </w:r>
      <w:r>
        <w:rPr>
          <w:rFonts w:ascii="Book Antiqua" w:hAnsi="Book Antiqua"/>
        </w:rPr>
        <w:t xml:space="preserve"> go on to consider the extensive submissions I have heard about whether, even if the 2017 Bag does not infringe GB’116, it nonetheless is royalty-bearing under the Licence Agreement.</w:t>
      </w:r>
    </w:p>
    <w:p w14:paraId="56DB42DC" w14:textId="67082407" w:rsidR="00080CFB" w:rsidRPr="009D1DF1" w:rsidRDefault="00080CFB" w:rsidP="009E4653">
      <w:pPr>
        <w:pStyle w:val="ParaLevel1"/>
        <w:numPr>
          <w:ilvl w:val="0"/>
          <w:numId w:val="0"/>
        </w:numPr>
        <w:ind w:left="142"/>
        <w:rPr>
          <w:rFonts w:ascii="Book Antiqua" w:hAnsi="Book Antiqua"/>
          <w:b/>
          <w:i/>
          <w:szCs w:val="24"/>
        </w:rPr>
      </w:pPr>
      <w:r>
        <w:rPr>
          <w:rFonts w:ascii="Book Antiqua" w:hAnsi="Book Antiqua"/>
          <w:b/>
          <w:i/>
          <w:szCs w:val="24"/>
        </w:rPr>
        <w:t>Issue (iii</w:t>
      </w:r>
      <w:r w:rsidRPr="009D1DF1">
        <w:rPr>
          <w:rFonts w:ascii="Book Antiqua" w:hAnsi="Book Antiqua"/>
          <w:b/>
          <w:i/>
          <w:szCs w:val="24"/>
        </w:rPr>
        <w:t>) – Is Excel entitled to an inquiry as to damages?</w:t>
      </w:r>
    </w:p>
    <w:p w14:paraId="5FBDB992" w14:textId="08187738" w:rsidR="009A01E4" w:rsidRDefault="00C81498" w:rsidP="009E4653">
      <w:pPr>
        <w:pStyle w:val="ParaLevel1"/>
        <w:rPr>
          <w:rFonts w:ascii="Book Antiqua" w:hAnsi="Book Antiqua"/>
          <w:szCs w:val="24"/>
        </w:rPr>
      </w:pPr>
      <w:r>
        <w:rPr>
          <w:rFonts w:ascii="Book Antiqua" w:hAnsi="Book Antiqua"/>
          <w:szCs w:val="24"/>
        </w:rPr>
        <w:t xml:space="preserve">It is difficult to understand Excel’s case in this regard. </w:t>
      </w:r>
      <w:r w:rsidR="009A01E4">
        <w:rPr>
          <w:rFonts w:ascii="Book Antiqua" w:hAnsi="Book Antiqua"/>
          <w:szCs w:val="24"/>
        </w:rPr>
        <w:t>Excel submits</w:t>
      </w:r>
      <w:r w:rsidR="008E3A89">
        <w:rPr>
          <w:rFonts w:ascii="Book Antiqua" w:hAnsi="Book Antiqua"/>
          <w:szCs w:val="24"/>
        </w:rPr>
        <w:t xml:space="preserve"> that these proceedings have arisen from Source’s purported terminati</w:t>
      </w:r>
      <w:r>
        <w:rPr>
          <w:rFonts w:ascii="Book Antiqua" w:hAnsi="Book Antiqua"/>
          <w:szCs w:val="24"/>
        </w:rPr>
        <w:t>on of the Licenc</w:t>
      </w:r>
      <w:r w:rsidR="0048767B">
        <w:rPr>
          <w:rFonts w:ascii="Book Antiqua" w:hAnsi="Book Antiqua"/>
          <w:szCs w:val="24"/>
        </w:rPr>
        <w:t>e Agreement</w:t>
      </w:r>
      <w:r>
        <w:rPr>
          <w:rFonts w:ascii="Book Antiqua" w:hAnsi="Book Antiqua"/>
          <w:szCs w:val="24"/>
        </w:rPr>
        <w:t>, and</w:t>
      </w:r>
      <w:r w:rsidR="0048767B">
        <w:rPr>
          <w:rFonts w:ascii="Book Antiqua" w:hAnsi="Book Antiqua"/>
          <w:szCs w:val="24"/>
        </w:rPr>
        <w:t xml:space="preserve"> Source’s</w:t>
      </w:r>
      <w:r w:rsidR="008E3A89">
        <w:rPr>
          <w:rFonts w:ascii="Book Antiqua" w:hAnsi="Book Antiqua"/>
          <w:szCs w:val="24"/>
        </w:rPr>
        <w:t xml:space="preserve"> admission that it has not terminated the Licence Agreement, which remains valid,</w:t>
      </w:r>
      <w:r w:rsidR="0048767B">
        <w:rPr>
          <w:rFonts w:ascii="Book Antiqua" w:hAnsi="Book Antiqua"/>
          <w:szCs w:val="24"/>
        </w:rPr>
        <w:t xml:space="preserve"> amounts to an a</w:t>
      </w:r>
      <w:r w:rsidR="006F0364">
        <w:rPr>
          <w:rFonts w:ascii="Book Antiqua" w:hAnsi="Book Antiqua"/>
          <w:szCs w:val="24"/>
        </w:rPr>
        <w:t xml:space="preserve">dmission of breach of contract, entitling it to damages. </w:t>
      </w:r>
      <w:r w:rsidR="00005B70">
        <w:rPr>
          <w:rFonts w:ascii="Book Antiqua" w:hAnsi="Book Antiqua"/>
          <w:szCs w:val="24"/>
        </w:rPr>
        <w:t xml:space="preserve">Source accepts that, but submits that was an anticipatory breach rather than a repudiatory breach in respect of which Excel is entitled to elect damages. Excel disagrees. </w:t>
      </w:r>
      <w:r w:rsidR="009A01E4">
        <w:rPr>
          <w:rFonts w:ascii="Book Antiqua" w:hAnsi="Book Antiqua"/>
          <w:szCs w:val="24"/>
        </w:rPr>
        <w:t xml:space="preserve">Mr Lomas submits that this case is comparable to </w:t>
      </w:r>
      <w:r w:rsidR="00C53655">
        <w:rPr>
          <w:rFonts w:ascii="Book Antiqua" w:hAnsi="Book Antiqua"/>
          <w:i/>
          <w:szCs w:val="24"/>
        </w:rPr>
        <w:t>Astea UK</w:t>
      </w:r>
      <w:r w:rsidR="009A01E4" w:rsidRPr="002C557B">
        <w:rPr>
          <w:rFonts w:ascii="Book Antiqua" w:hAnsi="Book Antiqua"/>
          <w:i/>
          <w:szCs w:val="24"/>
        </w:rPr>
        <w:t xml:space="preserve"> Limited v Time </w:t>
      </w:r>
      <w:r w:rsidR="009A01E4" w:rsidRPr="00005B70">
        <w:rPr>
          <w:rFonts w:ascii="Book Antiqua" w:hAnsi="Book Antiqua"/>
          <w:i/>
          <w:szCs w:val="24"/>
        </w:rPr>
        <w:t>Group</w:t>
      </w:r>
      <w:r w:rsidR="00005B70" w:rsidRPr="00005B70">
        <w:rPr>
          <w:rFonts w:ascii="Book Antiqua" w:hAnsi="Book Antiqua"/>
          <w:szCs w:val="24"/>
        </w:rPr>
        <w:t xml:space="preserve"> [2003] EWHC 725 (TCC), [2003] All E.R. (D) 212</w:t>
      </w:r>
      <w:r w:rsidR="009A01E4">
        <w:rPr>
          <w:rFonts w:ascii="Book Antiqua" w:hAnsi="Book Antiqua"/>
          <w:szCs w:val="24"/>
        </w:rPr>
        <w:t xml:space="preserve">, where at para 151 </w:t>
      </w:r>
      <w:r w:rsidR="00005B70">
        <w:rPr>
          <w:rFonts w:ascii="Book Antiqua" w:hAnsi="Book Antiqua"/>
          <w:szCs w:val="24"/>
        </w:rPr>
        <w:t xml:space="preserve">the court held that </w:t>
      </w:r>
      <w:r w:rsidR="00005B70" w:rsidRPr="00EA4BEA">
        <w:rPr>
          <w:rFonts w:ascii="Book Antiqua" w:hAnsi="Book Antiqua"/>
          <w:i/>
          <w:szCs w:val="24"/>
        </w:rPr>
        <w:t>”a flat refusal to continue performance will probably amount to a repudiation however much work has been done”</w:t>
      </w:r>
      <w:r w:rsidR="00005B70">
        <w:rPr>
          <w:rFonts w:ascii="Book Antiqua" w:hAnsi="Book Antiqua"/>
          <w:szCs w:val="24"/>
        </w:rPr>
        <w:t xml:space="preserve">. </w:t>
      </w:r>
      <w:r w:rsidR="002C557B">
        <w:rPr>
          <w:rFonts w:ascii="Book Antiqua" w:hAnsi="Book Antiqua"/>
          <w:szCs w:val="24"/>
        </w:rPr>
        <w:t>He submits this too is a straightforward refusal of performance</w:t>
      </w:r>
      <w:r w:rsidR="00EA4BEA">
        <w:rPr>
          <w:rFonts w:ascii="Book Antiqua" w:hAnsi="Book Antiqua"/>
          <w:szCs w:val="24"/>
        </w:rPr>
        <w:t xml:space="preserve"> by Source, amounting to a repudiation,</w:t>
      </w:r>
      <w:r w:rsidR="002C557B">
        <w:rPr>
          <w:rFonts w:ascii="Book Antiqua" w:hAnsi="Book Antiqua"/>
          <w:szCs w:val="24"/>
        </w:rPr>
        <w:t xml:space="preserve"> giving</w:t>
      </w:r>
      <w:r w:rsidR="00EA4BEA">
        <w:rPr>
          <w:rFonts w:ascii="Book Antiqua" w:hAnsi="Book Antiqua"/>
          <w:szCs w:val="24"/>
        </w:rPr>
        <w:t xml:space="preserve"> </w:t>
      </w:r>
      <w:r w:rsidR="002C557B">
        <w:rPr>
          <w:rFonts w:ascii="Book Antiqua" w:hAnsi="Book Antiqua"/>
          <w:szCs w:val="24"/>
        </w:rPr>
        <w:t xml:space="preserve">rise to a right to damages. </w:t>
      </w:r>
      <w:r w:rsidR="009A01E4">
        <w:rPr>
          <w:rFonts w:ascii="Book Antiqua" w:hAnsi="Book Antiqua"/>
          <w:szCs w:val="24"/>
        </w:rPr>
        <w:t>As it has a right to damages, he argues, so Excel has the right to an enquiry.</w:t>
      </w:r>
    </w:p>
    <w:p w14:paraId="52EFA293" w14:textId="65483CA3" w:rsidR="006F0364" w:rsidRDefault="00B87BF3" w:rsidP="009E4653">
      <w:pPr>
        <w:pStyle w:val="ParaLevel1"/>
        <w:rPr>
          <w:rFonts w:ascii="Book Antiqua" w:hAnsi="Book Antiqua"/>
          <w:szCs w:val="24"/>
        </w:rPr>
      </w:pPr>
      <w:r>
        <w:rPr>
          <w:rFonts w:ascii="Book Antiqua" w:hAnsi="Book Antiqua"/>
          <w:szCs w:val="24"/>
        </w:rPr>
        <w:t>Even if Excel is right,</w:t>
      </w:r>
      <w:r w:rsidR="006F0364">
        <w:rPr>
          <w:rFonts w:ascii="Book Antiqua" w:hAnsi="Book Antiqua"/>
          <w:szCs w:val="24"/>
        </w:rPr>
        <w:t xml:space="preserve"> what damages</w:t>
      </w:r>
      <w:r w:rsidR="00D526E9">
        <w:rPr>
          <w:rFonts w:ascii="Book Antiqua" w:hAnsi="Book Antiqua"/>
          <w:szCs w:val="24"/>
        </w:rPr>
        <w:t xml:space="preserve"> </w:t>
      </w:r>
      <w:r w:rsidR="00EA4BEA">
        <w:rPr>
          <w:rFonts w:ascii="Book Antiqua" w:hAnsi="Book Antiqua"/>
          <w:szCs w:val="24"/>
        </w:rPr>
        <w:t>can those be</w:t>
      </w:r>
      <w:r w:rsidR="006F0364">
        <w:rPr>
          <w:rFonts w:ascii="Book Antiqua" w:hAnsi="Book Antiqua"/>
          <w:szCs w:val="24"/>
        </w:rPr>
        <w:t xml:space="preserve"> in the </w:t>
      </w:r>
      <w:r w:rsidR="00EA4BEA">
        <w:rPr>
          <w:rFonts w:ascii="Book Antiqua" w:hAnsi="Book Antiqua"/>
          <w:szCs w:val="24"/>
        </w:rPr>
        <w:t>circumstances</w:t>
      </w:r>
      <w:r w:rsidR="006F0364">
        <w:rPr>
          <w:rFonts w:ascii="Book Antiqua" w:hAnsi="Book Antiqua"/>
          <w:szCs w:val="24"/>
        </w:rPr>
        <w:t xml:space="preserve"> of</w:t>
      </w:r>
      <w:r w:rsidR="00EA4BEA">
        <w:rPr>
          <w:rFonts w:ascii="Book Antiqua" w:hAnsi="Book Antiqua"/>
          <w:szCs w:val="24"/>
        </w:rPr>
        <w:t xml:space="preserve"> this case? Those are</w:t>
      </w:r>
      <w:r w:rsidR="00862D58">
        <w:rPr>
          <w:rFonts w:ascii="Book Antiqua" w:hAnsi="Book Antiqua"/>
          <w:szCs w:val="24"/>
        </w:rPr>
        <w:t xml:space="preserve"> that</w:t>
      </w:r>
      <w:r w:rsidR="00EA4BEA">
        <w:rPr>
          <w:rFonts w:ascii="Book Antiqua" w:hAnsi="Book Antiqua"/>
          <w:szCs w:val="24"/>
        </w:rPr>
        <w:t>:</w:t>
      </w:r>
      <w:r w:rsidR="006F0364">
        <w:rPr>
          <w:rFonts w:ascii="Book Antiqua" w:hAnsi="Book Antiqua"/>
          <w:szCs w:val="24"/>
        </w:rPr>
        <w:t xml:space="preserve"> </w:t>
      </w:r>
      <w:r w:rsidR="009A01E4">
        <w:rPr>
          <w:rFonts w:ascii="Book Antiqua" w:hAnsi="Book Antiqua"/>
          <w:szCs w:val="24"/>
        </w:rPr>
        <w:t xml:space="preserve">(i) Excel no longer </w:t>
      </w:r>
      <w:r w:rsidR="00EA4BEA">
        <w:rPr>
          <w:rFonts w:ascii="Book Antiqua" w:hAnsi="Book Antiqua"/>
          <w:szCs w:val="24"/>
        </w:rPr>
        <w:t>asserts</w:t>
      </w:r>
      <w:r w:rsidR="009A01E4">
        <w:rPr>
          <w:rFonts w:ascii="Book Antiqua" w:hAnsi="Book Antiqua"/>
          <w:szCs w:val="24"/>
        </w:rPr>
        <w:t xml:space="preserve"> there are a</w:t>
      </w:r>
      <w:r w:rsidR="00EA4BEA">
        <w:rPr>
          <w:rFonts w:ascii="Book Antiqua" w:hAnsi="Book Antiqua"/>
          <w:szCs w:val="24"/>
        </w:rPr>
        <w:t>ny unpaid royalties outstanding</w:t>
      </w:r>
      <w:r w:rsidR="009A01E4">
        <w:rPr>
          <w:rFonts w:ascii="Book Antiqua" w:hAnsi="Book Antiqua"/>
          <w:szCs w:val="24"/>
        </w:rPr>
        <w:t xml:space="preserve"> in respect </w:t>
      </w:r>
      <w:r w:rsidR="00EA4BEA">
        <w:rPr>
          <w:rFonts w:ascii="Book Antiqua" w:hAnsi="Book Antiqua"/>
          <w:szCs w:val="24"/>
        </w:rPr>
        <w:t xml:space="preserve">of </w:t>
      </w:r>
      <w:r w:rsidR="009A01E4">
        <w:rPr>
          <w:rFonts w:ascii="Book Antiqua" w:hAnsi="Book Antiqua"/>
          <w:szCs w:val="24"/>
        </w:rPr>
        <w:t xml:space="preserve">either the Source Ammunition Bag or the 2017 Bag; (ii) </w:t>
      </w:r>
      <w:r w:rsidR="00EA4BEA">
        <w:rPr>
          <w:rFonts w:ascii="Book Antiqua" w:hAnsi="Book Antiqua"/>
          <w:szCs w:val="24"/>
        </w:rPr>
        <w:t>the</w:t>
      </w:r>
      <w:r w:rsidR="006F0364">
        <w:rPr>
          <w:rFonts w:ascii="Book Antiqua" w:hAnsi="Book Antiqua"/>
          <w:szCs w:val="24"/>
        </w:rPr>
        <w:t xml:space="preserve"> Licence Agreement contains no positive obligation on Source to sell Licensed Product, nor any minimum </w:t>
      </w:r>
      <w:r w:rsidR="0078211A">
        <w:rPr>
          <w:rFonts w:ascii="Book Antiqua" w:hAnsi="Book Antiqua"/>
          <w:szCs w:val="24"/>
        </w:rPr>
        <w:t>guarantee of sales, n</w:t>
      </w:r>
      <w:r w:rsidR="00A85F6F">
        <w:rPr>
          <w:rFonts w:ascii="Book Antiqua" w:hAnsi="Book Antiqua"/>
          <w:szCs w:val="24"/>
        </w:rPr>
        <w:t xml:space="preserve">or </w:t>
      </w:r>
      <w:r w:rsidR="0078211A">
        <w:rPr>
          <w:rFonts w:ascii="Book Antiqua" w:hAnsi="Book Antiqua"/>
          <w:szCs w:val="24"/>
        </w:rPr>
        <w:t xml:space="preserve">any minimum royalty; (iii) </w:t>
      </w:r>
      <w:r w:rsidR="00EA4BEA">
        <w:rPr>
          <w:rFonts w:ascii="Book Antiqua" w:hAnsi="Book Antiqua"/>
          <w:szCs w:val="24"/>
        </w:rPr>
        <w:t xml:space="preserve">I have found that </w:t>
      </w:r>
      <w:r w:rsidR="0078211A">
        <w:rPr>
          <w:rFonts w:ascii="Book Antiqua" w:hAnsi="Book Antiqua"/>
          <w:szCs w:val="24"/>
        </w:rPr>
        <w:t xml:space="preserve">the reason </w:t>
      </w:r>
      <w:r w:rsidR="00005B70">
        <w:rPr>
          <w:rFonts w:ascii="Book Antiqua" w:hAnsi="Book Antiqua"/>
          <w:szCs w:val="24"/>
        </w:rPr>
        <w:t>the MoD</w:t>
      </w:r>
      <w:r w:rsidR="00D526E9">
        <w:rPr>
          <w:rFonts w:ascii="Book Antiqua" w:hAnsi="Book Antiqua"/>
          <w:szCs w:val="24"/>
        </w:rPr>
        <w:t xml:space="preserve"> has</w:t>
      </w:r>
      <w:r w:rsidR="0078211A">
        <w:rPr>
          <w:rFonts w:ascii="Book Antiqua" w:hAnsi="Book Antiqua"/>
          <w:szCs w:val="24"/>
        </w:rPr>
        <w:t xml:space="preserve"> not ordered as many ammunition bags as anticipated, and indeed </w:t>
      </w:r>
      <w:r w:rsidR="00D526E9">
        <w:rPr>
          <w:rFonts w:ascii="Book Antiqua" w:hAnsi="Book Antiqua"/>
          <w:szCs w:val="24"/>
        </w:rPr>
        <w:t xml:space="preserve">has cancelled an order for 9,000 units, is that it does not need as many as it thought it would; and (iv) </w:t>
      </w:r>
      <w:r w:rsidR="00EA4BEA">
        <w:rPr>
          <w:rFonts w:ascii="Book Antiqua" w:hAnsi="Book Antiqua"/>
          <w:szCs w:val="24"/>
        </w:rPr>
        <w:t xml:space="preserve">there is </w:t>
      </w:r>
      <w:r w:rsidR="00D526E9">
        <w:rPr>
          <w:rFonts w:ascii="Book Antiqua" w:hAnsi="Book Antiqua"/>
          <w:szCs w:val="24"/>
        </w:rPr>
        <w:t>documentary evidence from the MoD that if it places future orders, they will be for the 2017 Bag</w:t>
      </w:r>
      <w:r w:rsidR="00EA4BEA">
        <w:rPr>
          <w:rFonts w:ascii="Book Antiqua" w:hAnsi="Book Antiqua"/>
          <w:szCs w:val="24"/>
        </w:rPr>
        <w:t>,</w:t>
      </w:r>
      <w:r w:rsidR="00D526E9">
        <w:rPr>
          <w:rFonts w:ascii="Book Antiqua" w:hAnsi="Book Antiqua"/>
          <w:szCs w:val="24"/>
        </w:rPr>
        <w:t xml:space="preserve"> which I h</w:t>
      </w:r>
      <w:r w:rsidR="00EA4BEA">
        <w:rPr>
          <w:rFonts w:ascii="Book Antiqua" w:hAnsi="Book Antiqua"/>
          <w:szCs w:val="24"/>
        </w:rPr>
        <w:t>ave found to be royalty-bearing.</w:t>
      </w:r>
    </w:p>
    <w:p w14:paraId="034208AE" w14:textId="447CAAC7" w:rsidR="00303196" w:rsidRDefault="00303196" w:rsidP="009E4653">
      <w:pPr>
        <w:pStyle w:val="ParaLevel1"/>
        <w:rPr>
          <w:rFonts w:ascii="Book Antiqua" w:hAnsi="Book Antiqua"/>
          <w:szCs w:val="24"/>
        </w:rPr>
      </w:pPr>
      <w:r>
        <w:rPr>
          <w:rFonts w:ascii="Book Antiqua" w:hAnsi="Book Antiqua"/>
          <w:szCs w:val="24"/>
        </w:rPr>
        <w:t xml:space="preserve">Mr Lomas in his opening submissions put Excel’s case in this way: </w:t>
      </w:r>
      <w:r w:rsidRPr="00D45019">
        <w:rPr>
          <w:rFonts w:ascii="Book Antiqua" w:hAnsi="Book Antiqua"/>
          <w:i/>
          <w:szCs w:val="24"/>
        </w:rPr>
        <w:t>“We think there are future orders, so pay Excel a sum of money equal to the cancelled purchase orders and we will credit that against future orders”.</w:t>
      </w:r>
      <w:r>
        <w:rPr>
          <w:rFonts w:ascii="Book Antiqua" w:hAnsi="Book Antiqua"/>
          <w:szCs w:val="24"/>
        </w:rPr>
        <w:t xml:space="preserve"> This is, in my judgment, </w:t>
      </w:r>
      <w:r w:rsidR="00862D58">
        <w:rPr>
          <w:rFonts w:ascii="Book Antiqua" w:hAnsi="Book Antiqua"/>
          <w:szCs w:val="24"/>
        </w:rPr>
        <w:t xml:space="preserve">not an award of damages. It is </w:t>
      </w:r>
      <w:r>
        <w:rPr>
          <w:rFonts w:ascii="Book Antiqua" w:hAnsi="Book Antiqua"/>
          <w:szCs w:val="24"/>
        </w:rPr>
        <w:t xml:space="preserve">tantamount to </w:t>
      </w:r>
      <w:r w:rsidR="00862D58">
        <w:rPr>
          <w:rFonts w:ascii="Book Antiqua" w:hAnsi="Book Antiqua"/>
          <w:szCs w:val="24"/>
        </w:rPr>
        <w:t>the court ordering</w:t>
      </w:r>
      <w:r>
        <w:rPr>
          <w:rFonts w:ascii="Book Antiqua" w:hAnsi="Book Antiqua"/>
          <w:szCs w:val="24"/>
        </w:rPr>
        <w:t xml:space="preserve"> a guaranteed minimum royalty payment</w:t>
      </w:r>
      <w:r w:rsidR="00862D58">
        <w:rPr>
          <w:rFonts w:ascii="Book Antiqua" w:hAnsi="Book Antiqua"/>
          <w:szCs w:val="24"/>
        </w:rPr>
        <w:t>,</w:t>
      </w:r>
      <w:r>
        <w:rPr>
          <w:rFonts w:ascii="Book Antiqua" w:hAnsi="Book Antiqua"/>
          <w:szCs w:val="24"/>
        </w:rPr>
        <w:t xml:space="preserve"> when the Licence Agreement provides for no such thing. </w:t>
      </w:r>
    </w:p>
    <w:p w14:paraId="2DD1663A" w14:textId="48094AC9" w:rsidR="00005B70" w:rsidRDefault="00303196" w:rsidP="009E4653">
      <w:pPr>
        <w:pStyle w:val="ParaLevel1"/>
        <w:rPr>
          <w:rFonts w:ascii="Book Antiqua" w:hAnsi="Book Antiqua"/>
          <w:szCs w:val="24"/>
        </w:rPr>
      </w:pPr>
      <w:r>
        <w:rPr>
          <w:rFonts w:ascii="Book Antiqua" w:hAnsi="Book Antiqua"/>
          <w:szCs w:val="24"/>
        </w:rPr>
        <w:t>So what is the loss</w:t>
      </w:r>
      <w:r w:rsidR="00862D58">
        <w:rPr>
          <w:rFonts w:ascii="Book Antiqua" w:hAnsi="Book Antiqua"/>
          <w:szCs w:val="24"/>
        </w:rPr>
        <w:t xml:space="preserve"> flowing from the breach</w:t>
      </w:r>
      <w:r>
        <w:rPr>
          <w:rFonts w:ascii="Book Antiqua" w:hAnsi="Book Antiqua"/>
          <w:szCs w:val="24"/>
        </w:rPr>
        <w:t xml:space="preserve">? </w:t>
      </w:r>
      <w:r w:rsidR="00EA4BEA">
        <w:rPr>
          <w:rFonts w:ascii="Book Antiqua" w:hAnsi="Book Antiqua"/>
          <w:szCs w:val="24"/>
        </w:rPr>
        <w:t xml:space="preserve">The answer is not to be found in the pleadings, nor </w:t>
      </w:r>
      <w:r w:rsidR="00D45019">
        <w:rPr>
          <w:rFonts w:ascii="Book Antiqua" w:hAnsi="Book Antiqua"/>
          <w:szCs w:val="24"/>
        </w:rPr>
        <w:t xml:space="preserve">in </w:t>
      </w:r>
      <w:r w:rsidR="00EA4BEA">
        <w:rPr>
          <w:rFonts w:ascii="Book Antiqua" w:hAnsi="Book Antiqua"/>
          <w:szCs w:val="24"/>
        </w:rPr>
        <w:t>Mr Lomas’s skeleton argument</w:t>
      </w:r>
      <w:r w:rsidR="00D45019">
        <w:rPr>
          <w:rFonts w:ascii="Book Antiqua" w:hAnsi="Book Antiqua"/>
          <w:szCs w:val="24"/>
        </w:rPr>
        <w:t xml:space="preserve"> </w:t>
      </w:r>
      <w:r w:rsidR="00862D58">
        <w:rPr>
          <w:rFonts w:ascii="Book Antiqua" w:hAnsi="Book Antiqua"/>
          <w:szCs w:val="24"/>
        </w:rPr>
        <w:t>n</w:t>
      </w:r>
      <w:r w:rsidR="00D45019">
        <w:rPr>
          <w:rFonts w:ascii="Book Antiqua" w:hAnsi="Book Antiqua"/>
          <w:szCs w:val="24"/>
        </w:rPr>
        <w:t xml:space="preserve">or </w:t>
      </w:r>
      <w:r w:rsidR="00862D58">
        <w:rPr>
          <w:rFonts w:ascii="Book Antiqua" w:hAnsi="Book Antiqua"/>
          <w:szCs w:val="24"/>
        </w:rPr>
        <w:t xml:space="preserve">his </w:t>
      </w:r>
      <w:r w:rsidR="00EA4BEA">
        <w:rPr>
          <w:rFonts w:ascii="Book Antiqua" w:hAnsi="Book Antiqua"/>
          <w:szCs w:val="24"/>
        </w:rPr>
        <w:t>oral submissions in closing although I sought to press him on the point.</w:t>
      </w:r>
      <w:r w:rsidR="00C53655">
        <w:rPr>
          <w:rFonts w:ascii="Book Antiqua" w:hAnsi="Book Antiqua"/>
          <w:szCs w:val="24"/>
        </w:rPr>
        <w:t xml:space="preserve"> I accept, as does Mr Longstaff for Source, that to some extent it is the purpose of an inquiry to investigate that question and quantify damage</w:t>
      </w:r>
      <w:r w:rsidR="00862D58">
        <w:rPr>
          <w:rFonts w:ascii="Book Antiqua" w:hAnsi="Book Antiqua"/>
          <w:szCs w:val="24"/>
        </w:rPr>
        <w:t>,</w:t>
      </w:r>
      <w:r w:rsidR="00C53655">
        <w:rPr>
          <w:rFonts w:ascii="Book Antiqua" w:hAnsi="Book Antiqua"/>
          <w:szCs w:val="24"/>
        </w:rPr>
        <w:t xml:space="preserve"> but in the absence of any identification by Excel of the relevant type of damage that can be said to flow from the alleged breach</w:t>
      </w:r>
      <w:r w:rsidR="00D45019">
        <w:rPr>
          <w:rFonts w:ascii="Book Antiqua" w:hAnsi="Book Antiqua"/>
          <w:szCs w:val="24"/>
        </w:rPr>
        <w:t>, I accept Source’s submission that it is</w:t>
      </w:r>
      <w:r w:rsidR="00C53655">
        <w:rPr>
          <w:rFonts w:ascii="Book Antiqua" w:hAnsi="Book Antiqua"/>
          <w:szCs w:val="24"/>
        </w:rPr>
        <w:t xml:space="preserve"> disproportionate and </w:t>
      </w:r>
      <w:r w:rsidR="00862D58">
        <w:rPr>
          <w:rFonts w:ascii="Book Antiqua" w:hAnsi="Book Antiqua"/>
          <w:szCs w:val="24"/>
        </w:rPr>
        <w:t>outwith the overriding objective</w:t>
      </w:r>
      <w:r w:rsidR="00C53655">
        <w:rPr>
          <w:rFonts w:ascii="Book Antiqua" w:hAnsi="Book Antiqua"/>
          <w:szCs w:val="24"/>
        </w:rPr>
        <w:t xml:space="preserve"> to go to the effort and expense of such an enquiry. </w:t>
      </w:r>
      <w:r w:rsidR="00862D58">
        <w:rPr>
          <w:rFonts w:ascii="Book Antiqua" w:hAnsi="Book Antiqua"/>
          <w:szCs w:val="24"/>
        </w:rPr>
        <w:t>For that reason, I do not order an enquiry into damages.</w:t>
      </w:r>
    </w:p>
    <w:p w14:paraId="07B8B575" w14:textId="6D576D02" w:rsidR="004D3C2A" w:rsidRPr="009D1DF1" w:rsidRDefault="004D3C2A" w:rsidP="009E4653">
      <w:pPr>
        <w:pStyle w:val="ParaLevel1"/>
        <w:numPr>
          <w:ilvl w:val="0"/>
          <w:numId w:val="0"/>
        </w:numPr>
        <w:ind w:left="142"/>
        <w:rPr>
          <w:rFonts w:ascii="Book Antiqua" w:hAnsi="Book Antiqua"/>
          <w:b/>
          <w:i/>
          <w:szCs w:val="24"/>
        </w:rPr>
      </w:pPr>
      <w:r w:rsidRPr="009D1DF1">
        <w:rPr>
          <w:rFonts w:ascii="Book Antiqua" w:hAnsi="Book Antiqua"/>
          <w:b/>
          <w:i/>
          <w:szCs w:val="24"/>
        </w:rPr>
        <w:t>Issue (</w:t>
      </w:r>
      <w:r w:rsidR="00080CFB">
        <w:rPr>
          <w:rFonts w:ascii="Book Antiqua" w:hAnsi="Book Antiqua"/>
          <w:b/>
          <w:i/>
          <w:szCs w:val="24"/>
        </w:rPr>
        <w:t>iv</w:t>
      </w:r>
      <w:r w:rsidR="00730F69" w:rsidRPr="009D1DF1">
        <w:rPr>
          <w:rFonts w:ascii="Book Antiqua" w:hAnsi="Book Antiqua"/>
          <w:b/>
          <w:i/>
          <w:szCs w:val="24"/>
        </w:rPr>
        <w:t>)</w:t>
      </w:r>
      <w:r w:rsidRPr="009D1DF1">
        <w:rPr>
          <w:rFonts w:ascii="Book Antiqua" w:hAnsi="Book Antiqua"/>
          <w:b/>
          <w:i/>
          <w:szCs w:val="24"/>
        </w:rPr>
        <w:t xml:space="preserve"> </w:t>
      </w:r>
      <w:r w:rsidR="00730F69" w:rsidRPr="009D1DF1">
        <w:rPr>
          <w:rFonts w:ascii="Book Antiqua" w:hAnsi="Book Antiqua"/>
          <w:b/>
          <w:i/>
          <w:szCs w:val="24"/>
        </w:rPr>
        <w:t>–</w:t>
      </w:r>
      <w:r w:rsidRPr="009D1DF1">
        <w:rPr>
          <w:rFonts w:ascii="Book Antiqua" w:hAnsi="Book Antiqua"/>
          <w:b/>
          <w:i/>
          <w:szCs w:val="24"/>
        </w:rPr>
        <w:t xml:space="preserve"> </w:t>
      </w:r>
      <w:r w:rsidR="00402714" w:rsidRPr="009D1DF1">
        <w:rPr>
          <w:rFonts w:ascii="Book Antiqua" w:hAnsi="Book Antiqua"/>
          <w:b/>
          <w:i/>
          <w:szCs w:val="24"/>
        </w:rPr>
        <w:t>To what extent can Excel recover the costs of this action</w:t>
      </w:r>
      <w:r w:rsidR="000B4722">
        <w:rPr>
          <w:rFonts w:ascii="Book Antiqua" w:hAnsi="Book Antiqua"/>
          <w:b/>
          <w:i/>
          <w:szCs w:val="24"/>
        </w:rPr>
        <w:t xml:space="preserve"> and the UKIPO action</w:t>
      </w:r>
      <w:r w:rsidR="00402714" w:rsidRPr="009D1DF1">
        <w:rPr>
          <w:rFonts w:ascii="Book Antiqua" w:hAnsi="Book Antiqua"/>
          <w:b/>
          <w:i/>
          <w:szCs w:val="24"/>
        </w:rPr>
        <w:t xml:space="preserve"> under the contractual indemnity contained in Clause 10.2 of the Licence Agreement</w:t>
      </w:r>
      <w:r w:rsidRPr="009D1DF1">
        <w:rPr>
          <w:rFonts w:ascii="Book Antiqua" w:hAnsi="Book Antiqua"/>
          <w:b/>
          <w:i/>
          <w:szCs w:val="24"/>
        </w:rPr>
        <w:t>?</w:t>
      </w:r>
    </w:p>
    <w:p w14:paraId="0C54192E" w14:textId="77777777" w:rsidR="00AF2B0B" w:rsidRPr="009D1DF1" w:rsidRDefault="00AF2B0B" w:rsidP="009E4653">
      <w:pPr>
        <w:pStyle w:val="ParaLevel1"/>
        <w:rPr>
          <w:rFonts w:ascii="Book Antiqua" w:hAnsi="Book Antiqua"/>
          <w:szCs w:val="24"/>
        </w:rPr>
      </w:pPr>
      <w:r w:rsidRPr="009D1DF1">
        <w:rPr>
          <w:rFonts w:ascii="Book Antiqua" w:hAnsi="Book Antiqua"/>
          <w:szCs w:val="24"/>
        </w:rPr>
        <w:t>Clause 10.2 of the Licence Agreement provides:</w:t>
      </w:r>
    </w:p>
    <w:p w14:paraId="1156B0DD" w14:textId="77777777" w:rsidR="00AF2B0B" w:rsidRPr="009D1DF1" w:rsidRDefault="00AF2B0B" w:rsidP="009E4653">
      <w:pPr>
        <w:pStyle w:val="ParaLevel2"/>
        <w:numPr>
          <w:ilvl w:val="0"/>
          <w:numId w:val="0"/>
        </w:numPr>
        <w:ind w:left="1418"/>
        <w:rPr>
          <w:rFonts w:ascii="Book Antiqua" w:hAnsi="Book Antiqua"/>
          <w:szCs w:val="24"/>
        </w:rPr>
      </w:pPr>
      <w:r w:rsidRPr="009D1DF1">
        <w:rPr>
          <w:rFonts w:ascii="Book Antiqua" w:hAnsi="Book Antiqua"/>
          <w:szCs w:val="24"/>
        </w:rPr>
        <w:t>“10.2 The Licensee shall indemnify the Licensor against all liabilities, costs, expenses, damages or losses (including any direct or indirect consequential losses, loss of profit, loss of reputation and all interest, penalties and legal costs (calculated on a full indemnity basis) and all other reasonable professional costs and expenses) suffered or incurred by the Licensor arising out of or in connection with:</w:t>
      </w:r>
    </w:p>
    <w:p w14:paraId="45CBB5C6" w14:textId="77777777" w:rsidR="00AF2B0B" w:rsidRPr="009D1DF1" w:rsidRDefault="00AF2B0B" w:rsidP="009E4653">
      <w:pPr>
        <w:pStyle w:val="ParaLevel3"/>
        <w:rPr>
          <w:rFonts w:ascii="Book Antiqua" w:hAnsi="Book Antiqua"/>
          <w:szCs w:val="24"/>
        </w:rPr>
      </w:pPr>
      <w:r w:rsidRPr="009D1DF1">
        <w:rPr>
          <w:rFonts w:ascii="Book Antiqua" w:hAnsi="Book Antiqua"/>
          <w:szCs w:val="24"/>
        </w:rPr>
        <w:t>The Licensee’s exercise of the rights granted to it under this agreement;</w:t>
      </w:r>
    </w:p>
    <w:p w14:paraId="33093C34" w14:textId="77777777" w:rsidR="00AF2B0B" w:rsidRPr="009D1DF1" w:rsidRDefault="00AF2B0B" w:rsidP="009E4653">
      <w:pPr>
        <w:pStyle w:val="ParaLevel3"/>
        <w:rPr>
          <w:rFonts w:ascii="Book Antiqua" w:hAnsi="Book Antiqua"/>
          <w:szCs w:val="24"/>
        </w:rPr>
      </w:pPr>
      <w:r w:rsidRPr="009D1DF1">
        <w:rPr>
          <w:rFonts w:ascii="Book Antiqua" w:hAnsi="Book Antiqua"/>
          <w:szCs w:val="24"/>
        </w:rPr>
        <w:t>The Licensee’s breach or negligent performance or non-performance of this agreement, including any product liability claim relating to Licensed Product manufactured, supplied or put into use by the Licensee;</w:t>
      </w:r>
    </w:p>
    <w:p w14:paraId="0457777A" w14:textId="77777777" w:rsidR="00AF2B0B" w:rsidRDefault="00AF2B0B" w:rsidP="009E4653">
      <w:pPr>
        <w:pStyle w:val="ParaLevel3"/>
        <w:rPr>
          <w:rFonts w:ascii="Book Antiqua" w:hAnsi="Book Antiqua"/>
          <w:szCs w:val="24"/>
        </w:rPr>
      </w:pPr>
      <w:r w:rsidRPr="009D1DF1">
        <w:rPr>
          <w:rFonts w:ascii="Book Antiqua" w:hAnsi="Book Antiqua"/>
          <w:szCs w:val="24"/>
        </w:rPr>
        <w:t>The enforcement of this agreement;</w:t>
      </w:r>
    </w:p>
    <w:p w14:paraId="158C5491" w14:textId="14CD072C" w:rsidR="0048767B" w:rsidRPr="009D1DF1" w:rsidRDefault="0048767B" w:rsidP="009E4653">
      <w:pPr>
        <w:pStyle w:val="ParaLevel3"/>
        <w:rPr>
          <w:rFonts w:ascii="Book Antiqua" w:hAnsi="Book Antiqua"/>
          <w:szCs w:val="24"/>
        </w:rPr>
      </w:pPr>
      <w:r>
        <w:rPr>
          <w:rFonts w:ascii="Book Antiqua" w:hAnsi="Book Antiqua"/>
          <w:szCs w:val="24"/>
        </w:rPr>
        <w:t>…”</w:t>
      </w:r>
    </w:p>
    <w:p w14:paraId="2B7E4B94" w14:textId="2E3EFB80" w:rsidR="00AF2B0B" w:rsidRDefault="0048767B" w:rsidP="009E4653">
      <w:pPr>
        <w:pStyle w:val="ParaLevel1"/>
        <w:rPr>
          <w:rFonts w:ascii="Book Antiqua" w:hAnsi="Book Antiqua"/>
          <w:szCs w:val="24"/>
        </w:rPr>
      </w:pPr>
      <w:r>
        <w:rPr>
          <w:rFonts w:ascii="Book Antiqua" w:hAnsi="Book Antiqua"/>
          <w:szCs w:val="24"/>
        </w:rPr>
        <w:t xml:space="preserve">Excel submits that the court should follow the guidance of Scott LJ at page 194 of </w:t>
      </w:r>
      <w:r w:rsidRPr="000B4722">
        <w:rPr>
          <w:rFonts w:ascii="Book Antiqua" w:hAnsi="Book Antiqua"/>
          <w:i/>
          <w:szCs w:val="24"/>
        </w:rPr>
        <w:t>Gomba Holdings (UK) Ltd v Minories Finance Ltd</w:t>
      </w:r>
      <w:r w:rsidR="00B70959">
        <w:rPr>
          <w:rFonts w:ascii="Book Antiqua" w:hAnsi="Book Antiqua"/>
          <w:i/>
          <w:szCs w:val="24"/>
        </w:rPr>
        <w:t xml:space="preserve"> (No. 2)</w:t>
      </w:r>
      <w:r>
        <w:rPr>
          <w:rFonts w:ascii="Book Antiqua" w:hAnsi="Book Antiqua"/>
          <w:szCs w:val="24"/>
        </w:rPr>
        <w:t xml:space="preserve"> [1992] 3 WLR 723 (CA) who held in the context of a mortgage possession case, following a review of the authorities and dicta in previous cases, that (i) an order for payment of costs of proceedings by one party to another is always discretionary (s</w:t>
      </w:r>
      <w:r w:rsidR="00C53655">
        <w:rPr>
          <w:rFonts w:ascii="Book Antiqua" w:hAnsi="Book Antiqua"/>
          <w:szCs w:val="24"/>
        </w:rPr>
        <w:t xml:space="preserve">ection </w:t>
      </w:r>
      <w:r>
        <w:rPr>
          <w:rFonts w:ascii="Book Antiqua" w:hAnsi="Book Antiqua"/>
          <w:szCs w:val="24"/>
        </w:rPr>
        <w:t xml:space="preserve">51 Senior Courts Act 1981); and (ii) where there is a contractual right to the costs, the discretion should ordinarily be exercised so as to reflect that contractual right. </w:t>
      </w:r>
      <w:r w:rsidR="000B4722">
        <w:rPr>
          <w:rFonts w:ascii="Book Antiqua" w:hAnsi="Book Antiqua"/>
          <w:szCs w:val="24"/>
        </w:rPr>
        <w:t xml:space="preserve">Mr Lomas has given me advance warning in his skeleton argument that Excel proposes to seek an order for its </w:t>
      </w:r>
      <w:r w:rsidR="003F1470">
        <w:rPr>
          <w:rFonts w:ascii="Book Antiqua" w:hAnsi="Book Antiqua"/>
          <w:szCs w:val="24"/>
        </w:rPr>
        <w:t xml:space="preserve">indemnity </w:t>
      </w:r>
      <w:r w:rsidR="000B4722">
        <w:rPr>
          <w:rFonts w:ascii="Book Antiqua" w:hAnsi="Book Antiqua"/>
          <w:szCs w:val="24"/>
        </w:rPr>
        <w:t>costs both of these proceedings and also</w:t>
      </w:r>
      <w:r w:rsidR="003F1470">
        <w:rPr>
          <w:rFonts w:ascii="Book Antiqua" w:hAnsi="Book Antiqua"/>
          <w:szCs w:val="24"/>
        </w:rPr>
        <w:t xml:space="preserve"> of the IPO proceedings pursuant to Clause 10.</w:t>
      </w:r>
    </w:p>
    <w:p w14:paraId="50C1A6DB" w14:textId="774BEDA9" w:rsidR="00D74EAC" w:rsidRDefault="00D74EAC" w:rsidP="009E4653">
      <w:pPr>
        <w:pStyle w:val="ParaLevel1"/>
        <w:rPr>
          <w:rFonts w:ascii="Book Antiqua" w:hAnsi="Book Antiqua"/>
          <w:szCs w:val="24"/>
        </w:rPr>
      </w:pPr>
      <w:r>
        <w:rPr>
          <w:rFonts w:ascii="Book Antiqua" w:hAnsi="Book Antiqua"/>
          <w:szCs w:val="24"/>
        </w:rPr>
        <w:t xml:space="preserve">Source does not dispute the general principle in </w:t>
      </w:r>
      <w:r w:rsidRPr="00C53655">
        <w:rPr>
          <w:rFonts w:ascii="Book Antiqua" w:hAnsi="Book Antiqua"/>
          <w:i/>
          <w:szCs w:val="24"/>
        </w:rPr>
        <w:t>Gomba</w:t>
      </w:r>
      <w:r>
        <w:rPr>
          <w:rFonts w:ascii="Book Antiqua" w:hAnsi="Book Antiqua"/>
          <w:szCs w:val="24"/>
        </w:rPr>
        <w:t>, but submits that it is not a rule of law and does not override the Court’s ultimate discretion on costs.</w:t>
      </w:r>
      <w:r w:rsidR="00250D28">
        <w:rPr>
          <w:rFonts w:ascii="Book Antiqua" w:hAnsi="Book Antiqua"/>
          <w:szCs w:val="24"/>
        </w:rPr>
        <w:t xml:space="preserve"> It submits that to make any determination of this point without hearing submissions from the parties once the details of my decision are known, would be premature.</w:t>
      </w:r>
    </w:p>
    <w:p w14:paraId="1898DAA9" w14:textId="671C9C21" w:rsidR="0048767B" w:rsidRDefault="00250D28" w:rsidP="009E4653">
      <w:pPr>
        <w:pStyle w:val="ParaLevel1"/>
        <w:rPr>
          <w:rFonts w:ascii="Book Antiqua" w:hAnsi="Book Antiqua"/>
          <w:szCs w:val="24"/>
        </w:rPr>
      </w:pPr>
      <w:r>
        <w:rPr>
          <w:rFonts w:ascii="Book Antiqua" w:hAnsi="Book Antiqua"/>
          <w:szCs w:val="24"/>
        </w:rPr>
        <w:t xml:space="preserve">I am with Source on this matter. </w:t>
      </w:r>
      <w:r w:rsidR="0048767B">
        <w:rPr>
          <w:rFonts w:ascii="Book Antiqua" w:hAnsi="Book Antiqua"/>
          <w:szCs w:val="24"/>
        </w:rPr>
        <w:t xml:space="preserve">By this judgment </w:t>
      </w:r>
      <w:r w:rsidR="00C53655">
        <w:rPr>
          <w:rFonts w:ascii="Book Antiqua" w:hAnsi="Book Antiqua"/>
          <w:szCs w:val="24"/>
        </w:rPr>
        <w:t xml:space="preserve">Excel </w:t>
      </w:r>
      <w:r w:rsidR="008D60D3">
        <w:rPr>
          <w:rFonts w:ascii="Book Antiqua" w:hAnsi="Book Antiqua"/>
          <w:szCs w:val="24"/>
        </w:rPr>
        <w:t xml:space="preserve">appears to be </w:t>
      </w:r>
      <w:r w:rsidR="00C53655">
        <w:rPr>
          <w:rFonts w:ascii="Book Antiqua" w:hAnsi="Book Antiqua"/>
          <w:szCs w:val="24"/>
        </w:rPr>
        <w:t>the successful party</w:t>
      </w:r>
      <w:r w:rsidR="008D60D3">
        <w:rPr>
          <w:rFonts w:ascii="Book Antiqua" w:hAnsi="Book Antiqua"/>
          <w:szCs w:val="24"/>
        </w:rPr>
        <w:t>, but I understand this is disputed and I will hear submissions on that</w:t>
      </w:r>
      <w:r w:rsidR="0048767B">
        <w:rPr>
          <w:rFonts w:ascii="Book Antiqua" w:hAnsi="Book Antiqua"/>
          <w:szCs w:val="24"/>
        </w:rPr>
        <w:t xml:space="preserve">. The </w:t>
      </w:r>
      <w:r w:rsidR="0097137E">
        <w:rPr>
          <w:rFonts w:ascii="Book Antiqua" w:hAnsi="Book Antiqua"/>
          <w:szCs w:val="24"/>
        </w:rPr>
        <w:t>general rule</w:t>
      </w:r>
      <w:r w:rsidR="0048767B">
        <w:rPr>
          <w:rFonts w:ascii="Book Antiqua" w:hAnsi="Book Antiqua"/>
          <w:szCs w:val="24"/>
        </w:rPr>
        <w:t xml:space="preserve"> is that the unsuccessful party shall pay the costs of the successful party, but of course that is subject to the judge’s very broad discretion</w:t>
      </w:r>
      <w:r w:rsidR="003F1470">
        <w:rPr>
          <w:rFonts w:ascii="Book Antiqua" w:hAnsi="Book Antiqua"/>
          <w:szCs w:val="24"/>
        </w:rPr>
        <w:t xml:space="preserve"> to make a different order </w:t>
      </w:r>
      <w:r w:rsidR="00D74EAC">
        <w:rPr>
          <w:rFonts w:ascii="Book Antiqua" w:hAnsi="Book Antiqua"/>
          <w:szCs w:val="24"/>
        </w:rPr>
        <w:t xml:space="preserve">if </w:t>
      </w:r>
      <w:r w:rsidR="00862D58">
        <w:rPr>
          <w:rFonts w:ascii="Book Antiqua" w:hAnsi="Book Antiqua"/>
          <w:szCs w:val="24"/>
        </w:rPr>
        <w:t>it is in the interests of justice to do so</w:t>
      </w:r>
      <w:r w:rsidR="0048767B">
        <w:rPr>
          <w:rFonts w:ascii="Book Antiqua" w:hAnsi="Book Antiqua"/>
          <w:szCs w:val="24"/>
        </w:rPr>
        <w:t xml:space="preserve">. </w:t>
      </w:r>
    </w:p>
    <w:p w14:paraId="25ED0640" w14:textId="1B848F49" w:rsidR="000B4722" w:rsidRDefault="000B4722" w:rsidP="009E4653">
      <w:pPr>
        <w:pStyle w:val="ParaLevel1"/>
        <w:rPr>
          <w:rFonts w:ascii="Book Antiqua" w:hAnsi="Book Antiqua"/>
          <w:szCs w:val="24"/>
        </w:rPr>
      </w:pPr>
      <w:r>
        <w:rPr>
          <w:rFonts w:ascii="Book Antiqua" w:hAnsi="Book Antiqua"/>
          <w:szCs w:val="24"/>
        </w:rPr>
        <w:t>There may be a number of matters of which I am presently unaware which would or might cause me to take a different view</w:t>
      </w:r>
      <w:r w:rsidR="00D74EAC">
        <w:rPr>
          <w:rFonts w:ascii="Book Antiqua" w:hAnsi="Book Antiqua"/>
          <w:szCs w:val="24"/>
        </w:rPr>
        <w:t xml:space="preserve"> on costs</w:t>
      </w:r>
      <w:r>
        <w:rPr>
          <w:rFonts w:ascii="Book Antiqua" w:hAnsi="Book Antiqua"/>
          <w:szCs w:val="24"/>
        </w:rPr>
        <w:t>, if drawn to my attention</w:t>
      </w:r>
      <w:r w:rsidR="0097137E">
        <w:rPr>
          <w:rFonts w:ascii="Book Antiqua" w:hAnsi="Book Antiqua"/>
          <w:szCs w:val="24"/>
        </w:rPr>
        <w:t>. I cannot speculate.</w:t>
      </w:r>
      <w:r>
        <w:rPr>
          <w:rFonts w:ascii="Book Antiqua" w:hAnsi="Book Antiqua"/>
          <w:szCs w:val="24"/>
        </w:rPr>
        <w:t xml:space="preserve"> </w:t>
      </w:r>
      <w:r w:rsidR="0097137E">
        <w:rPr>
          <w:rFonts w:ascii="Book Antiqua" w:hAnsi="Book Antiqua"/>
          <w:szCs w:val="24"/>
        </w:rPr>
        <w:t>In</w:t>
      </w:r>
      <w:r w:rsidR="00D74EAC">
        <w:rPr>
          <w:rFonts w:ascii="Book Antiqua" w:hAnsi="Book Antiqua"/>
          <w:szCs w:val="24"/>
        </w:rPr>
        <w:t xml:space="preserve"> my judgment </w:t>
      </w:r>
      <w:r w:rsidR="0097137E">
        <w:rPr>
          <w:rFonts w:ascii="Book Antiqua" w:hAnsi="Book Antiqua"/>
          <w:szCs w:val="24"/>
        </w:rPr>
        <w:t>the wide</w:t>
      </w:r>
      <w:r>
        <w:rPr>
          <w:rFonts w:ascii="Book Antiqua" w:hAnsi="Book Antiqua"/>
          <w:szCs w:val="24"/>
        </w:rPr>
        <w:t xml:space="preserve"> discretion </w:t>
      </w:r>
      <w:r w:rsidR="0097137E">
        <w:rPr>
          <w:rFonts w:ascii="Book Antiqua" w:hAnsi="Book Antiqua"/>
          <w:szCs w:val="24"/>
        </w:rPr>
        <w:t xml:space="preserve">that I have in costs </w:t>
      </w:r>
      <w:r>
        <w:rPr>
          <w:rFonts w:ascii="Book Antiqua" w:hAnsi="Book Antiqua"/>
          <w:szCs w:val="24"/>
        </w:rPr>
        <w:t>can</w:t>
      </w:r>
      <w:r w:rsidR="0097137E">
        <w:rPr>
          <w:rFonts w:ascii="Book Antiqua" w:hAnsi="Book Antiqua"/>
          <w:szCs w:val="24"/>
        </w:rPr>
        <w:t xml:space="preserve"> properly </w:t>
      </w:r>
      <w:r>
        <w:rPr>
          <w:rFonts w:ascii="Book Antiqua" w:hAnsi="Book Antiqua"/>
          <w:szCs w:val="24"/>
        </w:rPr>
        <w:t xml:space="preserve">be exercised </w:t>
      </w:r>
      <w:r w:rsidR="0097137E">
        <w:rPr>
          <w:rFonts w:ascii="Book Antiqua" w:hAnsi="Book Antiqua"/>
          <w:szCs w:val="24"/>
        </w:rPr>
        <w:t xml:space="preserve">only </w:t>
      </w:r>
      <w:r>
        <w:rPr>
          <w:rFonts w:ascii="Book Antiqua" w:hAnsi="Book Antiqua"/>
          <w:szCs w:val="24"/>
        </w:rPr>
        <w:t xml:space="preserve">after </w:t>
      </w:r>
      <w:r w:rsidR="0097137E">
        <w:rPr>
          <w:rFonts w:ascii="Book Antiqua" w:hAnsi="Book Antiqua"/>
          <w:szCs w:val="24"/>
        </w:rPr>
        <w:t xml:space="preserve">considering all the circumstances and </w:t>
      </w:r>
      <w:r>
        <w:rPr>
          <w:rFonts w:ascii="Book Antiqua" w:hAnsi="Book Antiqua"/>
          <w:szCs w:val="24"/>
        </w:rPr>
        <w:t xml:space="preserve">hearing such submissions as the parties wish to make. Undoubtedly, one of the </w:t>
      </w:r>
      <w:r w:rsidR="0097137E">
        <w:rPr>
          <w:rFonts w:ascii="Book Antiqua" w:hAnsi="Book Antiqua"/>
          <w:szCs w:val="24"/>
        </w:rPr>
        <w:t>circumstances</w:t>
      </w:r>
      <w:r>
        <w:rPr>
          <w:rFonts w:ascii="Book Antiqua" w:hAnsi="Book Antiqua"/>
          <w:szCs w:val="24"/>
        </w:rPr>
        <w:t xml:space="preserve"> </w:t>
      </w:r>
      <w:r w:rsidR="0097137E">
        <w:rPr>
          <w:rFonts w:ascii="Book Antiqua" w:hAnsi="Book Antiqua"/>
          <w:szCs w:val="24"/>
        </w:rPr>
        <w:t>I will consider when</w:t>
      </w:r>
      <w:r>
        <w:rPr>
          <w:rFonts w:ascii="Book Antiqua" w:hAnsi="Book Antiqua"/>
          <w:szCs w:val="24"/>
        </w:rPr>
        <w:t xml:space="preserve"> exercising my discretion is the fact of the indemnity provisions contained in Clause 10 of the Licence Agreement. </w:t>
      </w:r>
    </w:p>
    <w:p w14:paraId="11159341" w14:textId="321146CC" w:rsidR="000B4722" w:rsidRPr="009D1DF1" w:rsidRDefault="000B4722" w:rsidP="009E4653">
      <w:pPr>
        <w:pStyle w:val="ParaLevel1"/>
        <w:rPr>
          <w:rFonts w:ascii="Book Antiqua" w:hAnsi="Book Antiqua"/>
          <w:szCs w:val="24"/>
        </w:rPr>
      </w:pPr>
      <w:r>
        <w:rPr>
          <w:rFonts w:ascii="Book Antiqua" w:hAnsi="Book Antiqua"/>
          <w:szCs w:val="24"/>
        </w:rPr>
        <w:t xml:space="preserve">I have read and considered Mr Lomas’ skeleton and the authorities with which I have been provided, particularly </w:t>
      </w:r>
      <w:r w:rsidRPr="000B4722">
        <w:rPr>
          <w:rFonts w:ascii="Book Antiqua" w:hAnsi="Book Antiqua"/>
          <w:i/>
          <w:szCs w:val="24"/>
        </w:rPr>
        <w:t>Gomba</w:t>
      </w:r>
      <w:r>
        <w:rPr>
          <w:rFonts w:ascii="Book Antiqua" w:hAnsi="Book Antiqua"/>
          <w:szCs w:val="24"/>
        </w:rPr>
        <w:t>, and I will bear those authorities in mind when I exercise my discretion in due course.</w:t>
      </w:r>
      <w:r w:rsidR="00250D28">
        <w:rPr>
          <w:rFonts w:ascii="Book Antiqua" w:hAnsi="Book Antiqua"/>
          <w:szCs w:val="24"/>
        </w:rPr>
        <w:t xml:space="preserve"> Similarly, I note Source’s submission in relation to the costs of the IPO proceedings</w:t>
      </w:r>
      <w:r w:rsidR="0097137E">
        <w:rPr>
          <w:rFonts w:ascii="Book Antiqua" w:hAnsi="Book Antiqua"/>
          <w:szCs w:val="24"/>
        </w:rPr>
        <w:t xml:space="preserve"> that Excel has also indicated it wishes this court to order</w:t>
      </w:r>
      <w:r w:rsidR="00250D28">
        <w:rPr>
          <w:rFonts w:ascii="Book Antiqua" w:hAnsi="Book Antiqua"/>
          <w:szCs w:val="24"/>
        </w:rPr>
        <w:t xml:space="preserve">: </w:t>
      </w:r>
      <w:r w:rsidR="0097137E">
        <w:rPr>
          <w:rFonts w:ascii="Book Antiqua" w:hAnsi="Book Antiqua"/>
          <w:szCs w:val="24"/>
        </w:rPr>
        <w:t xml:space="preserve">namely </w:t>
      </w:r>
      <w:r w:rsidR="00250D28">
        <w:rPr>
          <w:rFonts w:ascii="Book Antiqua" w:hAnsi="Book Antiqua"/>
          <w:szCs w:val="24"/>
        </w:rPr>
        <w:t xml:space="preserve">that </w:t>
      </w:r>
      <w:r w:rsidR="0097137E">
        <w:rPr>
          <w:rFonts w:ascii="Book Antiqua" w:hAnsi="Book Antiqua"/>
          <w:szCs w:val="24"/>
        </w:rPr>
        <w:t>those</w:t>
      </w:r>
      <w:r w:rsidR="00250D28">
        <w:rPr>
          <w:rFonts w:ascii="Book Antiqua" w:hAnsi="Book Antiqua"/>
          <w:szCs w:val="24"/>
        </w:rPr>
        <w:t xml:space="preserve"> are entirely separate proceedings</w:t>
      </w:r>
      <w:r w:rsidR="0097137E">
        <w:rPr>
          <w:rFonts w:ascii="Book Antiqua" w:hAnsi="Book Antiqua"/>
          <w:szCs w:val="24"/>
        </w:rPr>
        <w:t xml:space="preserve"> in respect of which this court should not make any order,</w:t>
      </w:r>
      <w:r w:rsidR="00250D28">
        <w:rPr>
          <w:rFonts w:ascii="Book Antiqua" w:hAnsi="Book Antiqua"/>
          <w:szCs w:val="24"/>
        </w:rPr>
        <w:t xml:space="preserve"> and </w:t>
      </w:r>
      <w:r w:rsidR="0097137E">
        <w:rPr>
          <w:rFonts w:ascii="Book Antiqua" w:hAnsi="Book Antiqua"/>
          <w:szCs w:val="24"/>
        </w:rPr>
        <w:t xml:space="preserve">furthermore they </w:t>
      </w:r>
      <w:r w:rsidR="00250D28">
        <w:rPr>
          <w:rFonts w:ascii="Book Antiqua" w:hAnsi="Book Antiqua"/>
          <w:szCs w:val="24"/>
        </w:rPr>
        <w:t xml:space="preserve">not within the scope of </w:t>
      </w:r>
      <w:r w:rsidR="0097137E">
        <w:rPr>
          <w:rFonts w:ascii="Book Antiqua" w:hAnsi="Book Antiqua"/>
          <w:szCs w:val="24"/>
        </w:rPr>
        <w:t xml:space="preserve">the indemnity contained in </w:t>
      </w:r>
      <w:r w:rsidR="00250D28">
        <w:rPr>
          <w:rFonts w:ascii="Book Antiqua" w:hAnsi="Book Antiqua"/>
          <w:szCs w:val="24"/>
        </w:rPr>
        <w:t>Clause 10</w:t>
      </w:r>
      <w:r w:rsidR="0097137E">
        <w:rPr>
          <w:rFonts w:ascii="Book Antiqua" w:hAnsi="Book Antiqua"/>
          <w:szCs w:val="24"/>
        </w:rPr>
        <w:t xml:space="preserve"> of the Licence Agreement</w:t>
      </w:r>
      <w:r w:rsidR="00250D28">
        <w:rPr>
          <w:rFonts w:ascii="Book Antiqua" w:hAnsi="Book Antiqua"/>
          <w:szCs w:val="24"/>
        </w:rPr>
        <w:t xml:space="preserve">. </w:t>
      </w:r>
      <w:r>
        <w:rPr>
          <w:rFonts w:ascii="Book Antiqua" w:hAnsi="Book Antiqua"/>
          <w:szCs w:val="24"/>
        </w:rPr>
        <w:t xml:space="preserve"> I make no finding </w:t>
      </w:r>
      <w:r w:rsidR="00D74EAC">
        <w:rPr>
          <w:rFonts w:ascii="Book Antiqua" w:hAnsi="Book Antiqua"/>
          <w:szCs w:val="24"/>
        </w:rPr>
        <w:t xml:space="preserve">on </w:t>
      </w:r>
      <w:r w:rsidR="00250D28">
        <w:rPr>
          <w:rFonts w:ascii="Book Antiqua" w:hAnsi="Book Antiqua"/>
          <w:szCs w:val="24"/>
        </w:rPr>
        <w:t>these</w:t>
      </w:r>
      <w:r w:rsidR="00D74EAC">
        <w:rPr>
          <w:rFonts w:ascii="Book Antiqua" w:hAnsi="Book Antiqua"/>
          <w:szCs w:val="24"/>
        </w:rPr>
        <w:t xml:space="preserve"> issue</w:t>
      </w:r>
      <w:r w:rsidR="00250D28">
        <w:rPr>
          <w:rFonts w:ascii="Book Antiqua" w:hAnsi="Book Antiqua"/>
          <w:szCs w:val="24"/>
        </w:rPr>
        <w:t>s</w:t>
      </w:r>
      <w:r w:rsidR="00D74EAC">
        <w:rPr>
          <w:rFonts w:ascii="Book Antiqua" w:hAnsi="Book Antiqua"/>
          <w:szCs w:val="24"/>
        </w:rPr>
        <w:t xml:space="preserve"> </w:t>
      </w:r>
      <w:r>
        <w:rPr>
          <w:rFonts w:ascii="Book Antiqua" w:hAnsi="Book Antiqua"/>
          <w:szCs w:val="24"/>
        </w:rPr>
        <w:t>at this stage</w:t>
      </w:r>
      <w:r w:rsidR="00D74EAC">
        <w:rPr>
          <w:rFonts w:ascii="Book Antiqua" w:hAnsi="Book Antiqua"/>
          <w:szCs w:val="24"/>
        </w:rPr>
        <w:t xml:space="preserve">, </w:t>
      </w:r>
      <w:r w:rsidR="0097137E">
        <w:rPr>
          <w:rFonts w:ascii="Book Antiqua" w:hAnsi="Book Antiqua"/>
          <w:szCs w:val="24"/>
        </w:rPr>
        <w:t xml:space="preserve">which are </w:t>
      </w:r>
      <w:r w:rsidR="00250D28">
        <w:rPr>
          <w:rFonts w:ascii="Book Antiqua" w:hAnsi="Book Antiqua"/>
          <w:szCs w:val="24"/>
        </w:rPr>
        <w:t xml:space="preserve">consequential matters </w:t>
      </w:r>
      <w:r w:rsidR="0097137E">
        <w:rPr>
          <w:rFonts w:ascii="Book Antiqua" w:hAnsi="Book Antiqua"/>
          <w:szCs w:val="24"/>
        </w:rPr>
        <w:t>which I will</w:t>
      </w:r>
      <w:r w:rsidR="00250D28">
        <w:rPr>
          <w:rFonts w:ascii="Book Antiqua" w:hAnsi="Book Antiqua"/>
          <w:szCs w:val="24"/>
        </w:rPr>
        <w:t xml:space="preserve"> </w:t>
      </w:r>
      <w:r w:rsidR="0097137E">
        <w:rPr>
          <w:rFonts w:ascii="Book Antiqua" w:hAnsi="Book Antiqua"/>
          <w:szCs w:val="24"/>
        </w:rPr>
        <w:t>consider</w:t>
      </w:r>
      <w:r w:rsidR="00250D28">
        <w:rPr>
          <w:rFonts w:ascii="Book Antiqua" w:hAnsi="Book Antiqua"/>
          <w:szCs w:val="24"/>
        </w:rPr>
        <w:t xml:space="preserve"> </w:t>
      </w:r>
      <w:r w:rsidR="008D60D3">
        <w:rPr>
          <w:rFonts w:ascii="Book Antiqua" w:hAnsi="Book Antiqua"/>
          <w:szCs w:val="24"/>
        </w:rPr>
        <w:t>once this</w:t>
      </w:r>
      <w:r w:rsidR="00250D28">
        <w:rPr>
          <w:rFonts w:ascii="Book Antiqua" w:hAnsi="Book Antiqua"/>
          <w:szCs w:val="24"/>
        </w:rPr>
        <w:t xml:space="preserve"> judgment is handed down</w:t>
      </w:r>
      <w:r>
        <w:rPr>
          <w:rFonts w:ascii="Book Antiqua" w:hAnsi="Book Antiqua"/>
          <w:szCs w:val="24"/>
        </w:rPr>
        <w:t>.</w:t>
      </w:r>
    </w:p>
    <w:p w14:paraId="65E95649" w14:textId="77777777" w:rsidR="00027BEB" w:rsidRDefault="00027BEB" w:rsidP="009E4653">
      <w:pPr>
        <w:pStyle w:val="ParaLevel1"/>
        <w:numPr>
          <w:ilvl w:val="0"/>
          <w:numId w:val="0"/>
        </w:numPr>
        <w:ind w:left="862" w:hanging="720"/>
        <w:rPr>
          <w:rFonts w:ascii="Book Antiqua" w:hAnsi="Book Antiqua"/>
          <w:szCs w:val="24"/>
        </w:rPr>
      </w:pPr>
    </w:p>
    <w:p w14:paraId="086B5B44" w14:textId="77777777" w:rsidR="00401481" w:rsidRDefault="00401481" w:rsidP="009E4653">
      <w:pPr>
        <w:pStyle w:val="ParaLevel1"/>
        <w:numPr>
          <w:ilvl w:val="0"/>
          <w:numId w:val="0"/>
        </w:numPr>
        <w:ind w:left="862" w:hanging="720"/>
        <w:rPr>
          <w:rFonts w:ascii="Book Antiqua" w:hAnsi="Book Antiqua"/>
          <w:szCs w:val="24"/>
        </w:rPr>
      </w:pPr>
    </w:p>
    <w:sectPr w:rsidR="00401481" w:rsidSect="009E4653">
      <w:type w:val="continuous"/>
      <w:pgSz w:w="11909" w:h="16834"/>
      <w:pgMar w:top="1440" w:right="1440" w:bottom="1440" w:left="1440" w:header="709" w:footer="709"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50586" w14:textId="77777777" w:rsidR="00666B2B" w:rsidRDefault="00666B2B">
      <w:r>
        <w:separator/>
      </w:r>
    </w:p>
  </w:endnote>
  <w:endnote w:type="continuationSeparator" w:id="0">
    <w:p w14:paraId="576358F5" w14:textId="77777777" w:rsidR="00666B2B" w:rsidRDefault="00666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6D09F" w14:textId="77777777" w:rsidR="00B70959" w:rsidRDefault="00B70959">
    <w:pPr>
      <w:pStyle w:val="Voettekst"/>
      <w:jc w:val="center"/>
      <w:rPr>
        <w:rFonts w:ascii="Times New Roman" w:hAnsi="Times New Roman"/>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B1C64" w14:textId="64050D52" w:rsidR="00B70959" w:rsidRPr="009E4653" w:rsidRDefault="00B70959" w:rsidP="009E465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8EE61" w14:textId="77777777" w:rsidR="00666B2B" w:rsidRDefault="00666B2B">
      <w:r>
        <w:separator/>
      </w:r>
    </w:p>
  </w:footnote>
  <w:footnote w:type="continuationSeparator" w:id="0">
    <w:p w14:paraId="7A2D5B37" w14:textId="77777777" w:rsidR="00666B2B" w:rsidRDefault="00666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00" w:type="dxa"/>
      <w:tblInd w:w="108" w:type="dxa"/>
      <w:tblLayout w:type="fixed"/>
      <w:tblLook w:val="0000" w:firstRow="0" w:lastRow="0" w:firstColumn="0" w:lastColumn="0" w:noHBand="0" w:noVBand="0"/>
    </w:tblPr>
    <w:tblGrid>
      <w:gridCol w:w="4680"/>
      <w:gridCol w:w="4320"/>
    </w:tblGrid>
    <w:tr w:rsidR="00B70959" w14:paraId="5BD11F30" w14:textId="77777777">
      <w:tc>
        <w:tcPr>
          <w:tcW w:w="4680" w:type="dxa"/>
        </w:tcPr>
        <w:p w14:paraId="2CFEC199" w14:textId="77777777" w:rsidR="009E4653" w:rsidRDefault="009E4653" w:rsidP="009E4653">
          <w:pPr>
            <w:pStyle w:val="Koptekst"/>
            <w:tabs>
              <w:tab w:val="clear" w:pos="4153"/>
              <w:tab w:val="clear" w:pos="8306"/>
            </w:tabs>
            <w:rPr>
              <w:rFonts w:ascii="Times New Roman" w:hAnsi="Times New Roman"/>
              <w:b/>
              <w:sz w:val="16"/>
              <w:u w:val="single"/>
            </w:rPr>
          </w:pPr>
          <w:r>
            <w:rPr>
              <w:rFonts w:ascii="Times New Roman" w:hAnsi="Times New Roman"/>
              <w:b/>
              <w:sz w:val="16"/>
              <w:u w:val="single"/>
            </w:rPr>
            <w:t>Judgment Approved by the court for handing down</w:t>
          </w:r>
        </w:p>
        <w:p w14:paraId="6634890C" w14:textId="4455C88C" w:rsidR="00B70959" w:rsidRPr="009E4653" w:rsidRDefault="009E4653" w:rsidP="009E4653">
          <w:pPr>
            <w:pStyle w:val="Koptekst"/>
            <w:tabs>
              <w:tab w:val="clear" w:pos="4153"/>
              <w:tab w:val="clear" w:pos="8306"/>
            </w:tabs>
            <w:rPr>
              <w:rFonts w:ascii="Times New Roman" w:hAnsi="Times New Roman"/>
              <w:b/>
              <w:sz w:val="16"/>
              <w:u w:val="single"/>
            </w:rPr>
          </w:pPr>
          <w:r>
            <w:rPr>
              <w:rFonts w:ascii="Times New Roman" w:hAnsi="Times New Roman"/>
              <w:b/>
              <w:sz w:val="16"/>
              <w:u w:val="single"/>
            </w:rPr>
            <w:t>(subject to editorial corrections)</w:t>
          </w:r>
        </w:p>
      </w:tc>
      <w:tc>
        <w:tcPr>
          <w:tcW w:w="4320" w:type="dxa"/>
        </w:tcPr>
        <w:p w14:paraId="087A6DC0" w14:textId="71F98677" w:rsidR="00B70959" w:rsidRDefault="00B70959" w:rsidP="003059E5">
          <w:pPr>
            <w:pStyle w:val="Koptekst"/>
            <w:jc w:val="right"/>
            <w:rPr>
              <w:rFonts w:ascii="Times New Roman" w:hAnsi="Times New Roman"/>
              <w:sz w:val="16"/>
            </w:rPr>
          </w:pPr>
          <w:r>
            <w:rPr>
              <w:rFonts w:ascii="Times New Roman" w:hAnsi="Times New Roman"/>
              <w:sz w:val="16"/>
            </w:rPr>
            <w:t>Excel-Eucan Limited v Source Vagabond Systems Limited</w:t>
          </w:r>
        </w:p>
      </w:tc>
    </w:tr>
  </w:tbl>
  <w:p w14:paraId="00A6565F" w14:textId="77777777" w:rsidR="00B70959" w:rsidRDefault="00B70959">
    <w:pPr>
      <w:pStyle w:val="Koptekst"/>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A87308"/>
    <w:multiLevelType w:val="hybridMultilevel"/>
    <w:tmpl w:val="85A6DB20"/>
    <w:lvl w:ilvl="0" w:tplc="04090003">
      <w:start w:val="1"/>
      <w:numFmt w:val="bullet"/>
      <w:lvlText w:val="o"/>
      <w:lvlJc w:val="left"/>
      <w:pPr>
        <w:ind w:left="1778" w:hanging="360"/>
      </w:pPr>
      <w:rPr>
        <w:rFonts w:ascii="Courier New" w:hAnsi="Courier New"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
    <w:nsid w:val="10722B2D"/>
    <w:multiLevelType w:val="multilevel"/>
    <w:tmpl w:val="4D52C604"/>
    <w:lvl w:ilvl="0">
      <w:start w:val="1"/>
      <w:numFmt w:val="decimal"/>
      <w:lvlText w:val="%1."/>
      <w:lvlJc w:val="left"/>
      <w:pPr>
        <w:tabs>
          <w:tab w:val="num" w:pos="862"/>
        </w:tabs>
        <w:ind w:left="862" w:hanging="720"/>
      </w:pPr>
      <w:rPr>
        <w:rFonts w:hint="default"/>
        <w:b w:val="0"/>
        <w:i w:val="0"/>
        <w:u w:val="none"/>
      </w:rPr>
    </w:lvl>
    <w:lvl w:ilvl="1">
      <w:start w:val="1"/>
      <w:numFmt w:val="lowerRoman"/>
      <w:lvlText w:val="%2)"/>
      <w:lvlJc w:val="left"/>
      <w:pPr>
        <w:tabs>
          <w:tab w:val="num" w:pos="1418"/>
        </w:tabs>
        <w:ind w:left="1418" w:hanging="709"/>
      </w:pPr>
      <w:rPr>
        <w:rFonts w:hint="default"/>
        <w:b w:val="0"/>
        <w:i w:val="0"/>
      </w:rPr>
    </w:lvl>
    <w:lvl w:ilvl="2">
      <w:start w:val="1"/>
      <w:numFmt w:val="lowerLetter"/>
      <w:lvlText w:val="%3)"/>
      <w:lvlJc w:val="left"/>
      <w:pPr>
        <w:tabs>
          <w:tab w:val="num" w:pos="2127"/>
        </w:tabs>
        <w:ind w:left="2127" w:hanging="709"/>
      </w:pPr>
      <w:rPr>
        <w:rFonts w:hint="default"/>
      </w:rPr>
    </w:lvl>
    <w:lvl w:ilvl="3">
      <w:start w:val="1"/>
      <w:numFmt w:val="lowerRoman"/>
      <w:lvlText w:val="%4)"/>
      <w:lvlJc w:val="left"/>
      <w:pPr>
        <w:tabs>
          <w:tab w:val="num" w:pos="3207"/>
        </w:tabs>
        <w:ind w:left="2836" w:hanging="709"/>
      </w:pPr>
      <w:rPr>
        <w:rFonts w:hint="default"/>
      </w:rPr>
    </w:lvl>
    <w:lvl w:ilvl="4">
      <w:start w:val="1"/>
      <w:numFmt w:val="lowerLetter"/>
      <w:lvlText w:val="(%5)"/>
      <w:lvlJc w:val="left"/>
      <w:pPr>
        <w:tabs>
          <w:tab w:val="num" w:pos="3545"/>
        </w:tabs>
        <w:ind w:left="3545" w:hanging="709"/>
      </w:pPr>
      <w:rPr>
        <w:rFonts w:hint="default"/>
      </w:rPr>
    </w:lvl>
    <w:lvl w:ilvl="5">
      <w:start w:val="1"/>
      <w:numFmt w:val="lowerRoman"/>
      <w:lvlText w:val="(%6)"/>
      <w:lvlJc w:val="left"/>
      <w:pPr>
        <w:tabs>
          <w:tab w:val="num" w:pos="4625"/>
        </w:tabs>
        <w:ind w:left="4254" w:hanging="709"/>
      </w:pPr>
      <w:rPr>
        <w:rFonts w:hint="default"/>
      </w:rPr>
    </w:lvl>
    <w:lvl w:ilvl="6">
      <w:start w:val="1"/>
      <w:numFmt w:val="lowerLetter"/>
      <w:lvlText w:val="(%7)"/>
      <w:lvlJc w:val="left"/>
      <w:pPr>
        <w:tabs>
          <w:tab w:val="num" w:pos="4963"/>
        </w:tabs>
        <w:ind w:left="4963" w:hanging="709"/>
      </w:pPr>
      <w:rPr>
        <w:rFonts w:hint="default"/>
      </w:rPr>
    </w:lvl>
    <w:lvl w:ilvl="7">
      <w:start w:val="1"/>
      <w:numFmt w:val="lowerRoman"/>
      <w:lvlText w:val="(%8)"/>
      <w:lvlJc w:val="left"/>
      <w:pPr>
        <w:tabs>
          <w:tab w:val="num" w:pos="6043"/>
        </w:tabs>
        <w:ind w:left="5672" w:hanging="709"/>
      </w:pPr>
      <w:rPr>
        <w:rFonts w:hint="default"/>
      </w:rPr>
    </w:lvl>
    <w:lvl w:ilvl="8">
      <w:start w:val="1"/>
      <w:numFmt w:val="lowerLetter"/>
      <w:lvlText w:val="(%9)"/>
      <w:lvlJc w:val="left"/>
      <w:pPr>
        <w:tabs>
          <w:tab w:val="num" w:pos="6381"/>
        </w:tabs>
        <w:ind w:left="6381" w:hanging="709"/>
      </w:pPr>
      <w:rPr>
        <w:rFonts w:hint="default"/>
      </w:rPr>
    </w:lvl>
  </w:abstractNum>
  <w:abstractNum w:abstractNumId="3">
    <w:nsid w:val="11BA43C6"/>
    <w:multiLevelType w:val="multilevel"/>
    <w:tmpl w:val="4D52C604"/>
    <w:lvl w:ilvl="0">
      <w:start w:val="1"/>
      <w:numFmt w:val="decimal"/>
      <w:lvlText w:val="%1."/>
      <w:lvlJc w:val="left"/>
      <w:pPr>
        <w:tabs>
          <w:tab w:val="num" w:pos="862"/>
        </w:tabs>
        <w:ind w:left="862" w:hanging="720"/>
      </w:pPr>
      <w:rPr>
        <w:rFonts w:hint="default"/>
        <w:b w:val="0"/>
        <w:i w:val="0"/>
        <w:u w:val="none"/>
      </w:rPr>
    </w:lvl>
    <w:lvl w:ilvl="1">
      <w:start w:val="1"/>
      <w:numFmt w:val="lowerRoman"/>
      <w:lvlText w:val="%2)"/>
      <w:lvlJc w:val="left"/>
      <w:pPr>
        <w:tabs>
          <w:tab w:val="num" w:pos="1418"/>
        </w:tabs>
        <w:ind w:left="1418" w:hanging="709"/>
      </w:pPr>
      <w:rPr>
        <w:rFonts w:hint="default"/>
        <w:b w:val="0"/>
        <w:i w:val="0"/>
      </w:rPr>
    </w:lvl>
    <w:lvl w:ilvl="2">
      <w:start w:val="1"/>
      <w:numFmt w:val="lowerLetter"/>
      <w:lvlText w:val="%3)"/>
      <w:lvlJc w:val="left"/>
      <w:pPr>
        <w:tabs>
          <w:tab w:val="num" w:pos="2127"/>
        </w:tabs>
        <w:ind w:left="2127" w:hanging="709"/>
      </w:pPr>
      <w:rPr>
        <w:rFonts w:hint="default"/>
      </w:rPr>
    </w:lvl>
    <w:lvl w:ilvl="3">
      <w:start w:val="1"/>
      <w:numFmt w:val="lowerRoman"/>
      <w:lvlText w:val="%4)"/>
      <w:lvlJc w:val="left"/>
      <w:pPr>
        <w:tabs>
          <w:tab w:val="num" w:pos="3207"/>
        </w:tabs>
        <w:ind w:left="2836" w:hanging="709"/>
      </w:pPr>
      <w:rPr>
        <w:rFonts w:hint="default"/>
      </w:rPr>
    </w:lvl>
    <w:lvl w:ilvl="4">
      <w:start w:val="1"/>
      <w:numFmt w:val="lowerLetter"/>
      <w:lvlText w:val="(%5)"/>
      <w:lvlJc w:val="left"/>
      <w:pPr>
        <w:tabs>
          <w:tab w:val="num" w:pos="3545"/>
        </w:tabs>
        <w:ind w:left="3545" w:hanging="709"/>
      </w:pPr>
      <w:rPr>
        <w:rFonts w:hint="default"/>
      </w:rPr>
    </w:lvl>
    <w:lvl w:ilvl="5">
      <w:start w:val="1"/>
      <w:numFmt w:val="lowerRoman"/>
      <w:lvlText w:val="(%6)"/>
      <w:lvlJc w:val="left"/>
      <w:pPr>
        <w:tabs>
          <w:tab w:val="num" w:pos="4625"/>
        </w:tabs>
        <w:ind w:left="4254" w:hanging="709"/>
      </w:pPr>
      <w:rPr>
        <w:rFonts w:hint="default"/>
      </w:rPr>
    </w:lvl>
    <w:lvl w:ilvl="6">
      <w:start w:val="1"/>
      <w:numFmt w:val="lowerLetter"/>
      <w:lvlText w:val="(%7)"/>
      <w:lvlJc w:val="left"/>
      <w:pPr>
        <w:tabs>
          <w:tab w:val="num" w:pos="4963"/>
        </w:tabs>
        <w:ind w:left="4963" w:hanging="709"/>
      </w:pPr>
      <w:rPr>
        <w:rFonts w:hint="default"/>
      </w:rPr>
    </w:lvl>
    <w:lvl w:ilvl="7">
      <w:start w:val="1"/>
      <w:numFmt w:val="lowerRoman"/>
      <w:lvlText w:val="(%8)"/>
      <w:lvlJc w:val="left"/>
      <w:pPr>
        <w:tabs>
          <w:tab w:val="num" w:pos="6043"/>
        </w:tabs>
        <w:ind w:left="5672" w:hanging="709"/>
      </w:pPr>
      <w:rPr>
        <w:rFonts w:hint="default"/>
      </w:rPr>
    </w:lvl>
    <w:lvl w:ilvl="8">
      <w:start w:val="1"/>
      <w:numFmt w:val="lowerLetter"/>
      <w:lvlText w:val="(%9)"/>
      <w:lvlJc w:val="left"/>
      <w:pPr>
        <w:tabs>
          <w:tab w:val="num" w:pos="6381"/>
        </w:tabs>
        <w:ind w:left="6381" w:hanging="709"/>
      </w:pPr>
      <w:rPr>
        <w:rFonts w:hint="default"/>
      </w:rPr>
    </w:lvl>
  </w:abstractNum>
  <w:abstractNum w:abstractNumId="4">
    <w:nsid w:val="13A37D0B"/>
    <w:multiLevelType w:val="hybridMultilevel"/>
    <w:tmpl w:val="CCD8FE24"/>
    <w:lvl w:ilvl="0" w:tplc="7BCA511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E832045"/>
    <w:multiLevelType w:val="multilevel"/>
    <w:tmpl w:val="4D52C604"/>
    <w:lvl w:ilvl="0">
      <w:start w:val="1"/>
      <w:numFmt w:val="decimal"/>
      <w:lvlText w:val="%1."/>
      <w:lvlJc w:val="left"/>
      <w:pPr>
        <w:tabs>
          <w:tab w:val="num" w:pos="862"/>
        </w:tabs>
        <w:ind w:left="862" w:hanging="720"/>
      </w:pPr>
      <w:rPr>
        <w:rFonts w:hint="default"/>
        <w:b w:val="0"/>
        <w:i w:val="0"/>
        <w:u w:val="none"/>
      </w:rPr>
    </w:lvl>
    <w:lvl w:ilvl="1">
      <w:start w:val="1"/>
      <w:numFmt w:val="lowerRoman"/>
      <w:lvlText w:val="%2)"/>
      <w:lvlJc w:val="left"/>
      <w:pPr>
        <w:tabs>
          <w:tab w:val="num" w:pos="1418"/>
        </w:tabs>
        <w:ind w:left="1418" w:hanging="709"/>
      </w:pPr>
      <w:rPr>
        <w:rFonts w:hint="default"/>
        <w:b w:val="0"/>
        <w:i w:val="0"/>
      </w:rPr>
    </w:lvl>
    <w:lvl w:ilvl="2">
      <w:start w:val="1"/>
      <w:numFmt w:val="lowerLetter"/>
      <w:lvlText w:val="%3)"/>
      <w:lvlJc w:val="left"/>
      <w:pPr>
        <w:tabs>
          <w:tab w:val="num" w:pos="2127"/>
        </w:tabs>
        <w:ind w:left="2127" w:hanging="709"/>
      </w:pPr>
      <w:rPr>
        <w:rFonts w:hint="default"/>
      </w:rPr>
    </w:lvl>
    <w:lvl w:ilvl="3">
      <w:start w:val="1"/>
      <w:numFmt w:val="lowerRoman"/>
      <w:lvlText w:val="%4)"/>
      <w:lvlJc w:val="left"/>
      <w:pPr>
        <w:tabs>
          <w:tab w:val="num" w:pos="3207"/>
        </w:tabs>
        <w:ind w:left="2836" w:hanging="709"/>
      </w:pPr>
      <w:rPr>
        <w:rFonts w:hint="default"/>
      </w:rPr>
    </w:lvl>
    <w:lvl w:ilvl="4">
      <w:start w:val="1"/>
      <w:numFmt w:val="lowerLetter"/>
      <w:lvlText w:val="(%5)"/>
      <w:lvlJc w:val="left"/>
      <w:pPr>
        <w:tabs>
          <w:tab w:val="num" w:pos="3545"/>
        </w:tabs>
        <w:ind w:left="3545" w:hanging="709"/>
      </w:pPr>
      <w:rPr>
        <w:rFonts w:hint="default"/>
      </w:rPr>
    </w:lvl>
    <w:lvl w:ilvl="5">
      <w:start w:val="1"/>
      <w:numFmt w:val="lowerRoman"/>
      <w:lvlText w:val="(%6)"/>
      <w:lvlJc w:val="left"/>
      <w:pPr>
        <w:tabs>
          <w:tab w:val="num" w:pos="4625"/>
        </w:tabs>
        <w:ind w:left="4254" w:hanging="709"/>
      </w:pPr>
      <w:rPr>
        <w:rFonts w:hint="default"/>
      </w:rPr>
    </w:lvl>
    <w:lvl w:ilvl="6">
      <w:start w:val="1"/>
      <w:numFmt w:val="lowerLetter"/>
      <w:lvlText w:val="(%7)"/>
      <w:lvlJc w:val="left"/>
      <w:pPr>
        <w:tabs>
          <w:tab w:val="num" w:pos="4963"/>
        </w:tabs>
        <w:ind w:left="4963" w:hanging="709"/>
      </w:pPr>
      <w:rPr>
        <w:rFonts w:hint="default"/>
      </w:rPr>
    </w:lvl>
    <w:lvl w:ilvl="7">
      <w:start w:val="1"/>
      <w:numFmt w:val="lowerRoman"/>
      <w:lvlText w:val="(%8)"/>
      <w:lvlJc w:val="left"/>
      <w:pPr>
        <w:tabs>
          <w:tab w:val="num" w:pos="6043"/>
        </w:tabs>
        <w:ind w:left="5672" w:hanging="709"/>
      </w:pPr>
      <w:rPr>
        <w:rFonts w:hint="default"/>
      </w:rPr>
    </w:lvl>
    <w:lvl w:ilvl="8">
      <w:start w:val="1"/>
      <w:numFmt w:val="lowerLetter"/>
      <w:lvlText w:val="(%9)"/>
      <w:lvlJc w:val="left"/>
      <w:pPr>
        <w:tabs>
          <w:tab w:val="num" w:pos="6381"/>
        </w:tabs>
        <w:ind w:left="6381" w:hanging="709"/>
      </w:pPr>
      <w:rPr>
        <w:rFonts w:hint="default"/>
      </w:rPr>
    </w:lvl>
  </w:abstractNum>
  <w:abstractNum w:abstractNumId="6">
    <w:nsid w:val="33F169AC"/>
    <w:multiLevelType w:val="hybridMultilevel"/>
    <w:tmpl w:val="CCD8FE24"/>
    <w:lvl w:ilvl="0" w:tplc="7BCA511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46FD2055"/>
    <w:multiLevelType w:val="multilevel"/>
    <w:tmpl w:val="460E1296"/>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3D0FE7"/>
    <w:multiLevelType w:val="multilevel"/>
    <w:tmpl w:val="4D52C604"/>
    <w:lvl w:ilvl="0">
      <w:start w:val="1"/>
      <w:numFmt w:val="decimal"/>
      <w:pStyle w:val="ParaLevel1"/>
      <w:lvlText w:val="%1."/>
      <w:lvlJc w:val="left"/>
      <w:pPr>
        <w:tabs>
          <w:tab w:val="num" w:pos="862"/>
        </w:tabs>
        <w:ind w:left="862" w:hanging="720"/>
      </w:pPr>
      <w:rPr>
        <w:rFonts w:hint="default"/>
        <w:b w:val="0"/>
        <w:i w:val="0"/>
        <w:u w:val="none"/>
      </w:rPr>
    </w:lvl>
    <w:lvl w:ilvl="1">
      <w:start w:val="1"/>
      <w:numFmt w:val="lowerRoman"/>
      <w:pStyle w:val="ParaLevel2"/>
      <w:lvlText w:val="%2)"/>
      <w:lvlJc w:val="left"/>
      <w:pPr>
        <w:tabs>
          <w:tab w:val="num" w:pos="1418"/>
        </w:tabs>
        <w:ind w:left="1418" w:hanging="709"/>
      </w:pPr>
      <w:rPr>
        <w:rFonts w:hint="default"/>
        <w:b w:val="0"/>
        <w:i w:val="0"/>
      </w:rPr>
    </w:lvl>
    <w:lvl w:ilvl="2">
      <w:start w:val="1"/>
      <w:numFmt w:val="lowerLetter"/>
      <w:pStyle w:val="ParaLevel3"/>
      <w:lvlText w:val="%3)"/>
      <w:lvlJc w:val="left"/>
      <w:pPr>
        <w:tabs>
          <w:tab w:val="num" w:pos="2127"/>
        </w:tabs>
        <w:ind w:left="2127" w:hanging="709"/>
      </w:pPr>
      <w:rPr>
        <w:rFonts w:hint="default"/>
      </w:rPr>
    </w:lvl>
    <w:lvl w:ilvl="3">
      <w:start w:val="1"/>
      <w:numFmt w:val="lowerRoman"/>
      <w:pStyle w:val="ParaLevel4"/>
      <w:lvlText w:val="%4)"/>
      <w:lvlJc w:val="left"/>
      <w:pPr>
        <w:tabs>
          <w:tab w:val="num" w:pos="3207"/>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625"/>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6043"/>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abstractNum w:abstractNumId="9">
    <w:nsid w:val="5AF53C3B"/>
    <w:multiLevelType w:val="multilevel"/>
    <w:tmpl w:val="D4E25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F2B3C73"/>
    <w:multiLevelType w:val="multilevel"/>
    <w:tmpl w:val="D7767F12"/>
    <w:lvl w:ilvl="0">
      <w:start w:val="1"/>
      <w:numFmt w:val="decimal"/>
      <w:lvlText w:val="%1."/>
      <w:lvlJc w:val="left"/>
      <w:pPr>
        <w:tabs>
          <w:tab w:val="num" w:pos="720"/>
        </w:tabs>
        <w:ind w:left="720" w:hanging="720"/>
      </w:pPr>
      <w:rPr>
        <w:rFonts w:hint="default"/>
        <w:b w:val="0"/>
        <w:i w:val="0"/>
        <w:u w:val="none"/>
      </w:rPr>
    </w:lvl>
    <w:lvl w:ilvl="1">
      <w:start w:val="1"/>
      <w:numFmt w:val="lowerRoman"/>
      <w:lvlText w:val="%2)"/>
      <w:lvlJc w:val="left"/>
      <w:pPr>
        <w:tabs>
          <w:tab w:val="num" w:pos="1418"/>
        </w:tabs>
        <w:ind w:left="1418" w:hanging="709"/>
      </w:pPr>
      <w:rPr>
        <w:rFonts w:hint="default"/>
        <w:b w:val="0"/>
        <w:i w:val="0"/>
      </w:rPr>
    </w:lvl>
    <w:lvl w:ilvl="2">
      <w:start w:val="1"/>
      <w:numFmt w:val="lowerLetter"/>
      <w:lvlText w:val="%3)"/>
      <w:lvlJc w:val="left"/>
      <w:pPr>
        <w:tabs>
          <w:tab w:val="num" w:pos="2127"/>
        </w:tabs>
        <w:ind w:left="2127" w:hanging="709"/>
      </w:pPr>
      <w:rPr>
        <w:rFonts w:hint="default"/>
      </w:rPr>
    </w:lvl>
    <w:lvl w:ilvl="3">
      <w:start w:val="1"/>
      <w:numFmt w:val="lowerRoman"/>
      <w:lvlText w:val="%4)"/>
      <w:lvlJc w:val="left"/>
      <w:pPr>
        <w:tabs>
          <w:tab w:val="num" w:pos="3207"/>
        </w:tabs>
        <w:ind w:left="2836" w:hanging="709"/>
      </w:pPr>
      <w:rPr>
        <w:rFonts w:hint="default"/>
      </w:rPr>
    </w:lvl>
    <w:lvl w:ilvl="4">
      <w:start w:val="1"/>
      <w:numFmt w:val="lowerLetter"/>
      <w:lvlText w:val="(%5)"/>
      <w:lvlJc w:val="left"/>
      <w:pPr>
        <w:tabs>
          <w:tab w:val="num" w:pos="3545"/>
        </w:tabs>
        <w:ind w:left="3545" w:hanging="709"/>
      </w:pPr>
      <w:rPr>
        <w:rFonts w:hint="default"/>
      </w:rPr>
    </w:lvl>
    <w:lvl w:ilvl="5">
      <w:start w:val="1"/>
      <w:numFmt w:val="lowerRoman"/>
      <w:lvlText w:val="(%6)"/>
      <w:lvlJc w:val="left"/>
      <w:pPr>
        <w:tabs>
          <w:tab w:val="num" w:pos="4625"/>
        </w:tabs>
        <w:ind w:left="4254" w:hanging="709"/>
      </w:pPr>
      <w:rPr>
        <w:rFonts w:hint="default"/>
      </w:rPr>
    </w:lvl>
    <w:lvl w:ilvl="6">
      <w:start w:val="1"/>
      <w:numFmt w:val="lowerLetter"/>
      <w:lvlText w:val="(%7)"/>
      <w:lvlJc w:val="left"/>
      <w:pPr>
        <w:tabs>
          <w:tab w:val="num" w:pos="4963"/>
        </w:tabs>
        <w:ind w:left="4963" w:hanging="709"/>
      </w:pPr>
      <w:rPr>
        <w:rFonts w:hint="default"/>
      </w:rPr>
    </w:lvl>
    <w:lvl w:ilvl="7">
      <w:start w:val="1"/>
      <w:numFmt w:val="lowerRoman"/>
      <w:lvlText w:val="(%8)"/>
      <w:lvlJc w:val="left"/>
      <w:pPr>
        <w:tabs>
          <w:tab w:val="num" w:pos="6043"/>
        </w:tabs>
        <w:ind w:left="5672" w:hanging="709"/>
      </w:pPr>
      <w:rPr>
        <w:rFonts w:hint="default"/>
      </w:rPr>
    </w:lvl>
    <w:lvl w:ilvl="8">
      <w:start w:val="1"/>
      <w:numFmt w:val="lowerLetter"/>
      <w:lvlText w:val="(%9)"/>
      <w:lvlJc w:val="left"/>
      <w:pPr>
        <w:tabs>
          <w:tab w:val="num" w:pos="6381"/>
        </w:tabs>
        <w:ind w:left="6381" w:hanging="709"/>
      </w:pPr>
      <w:rPr>
        <w:rFonts w:hint="default"/>
      </w:rPr>
    </w:lvl>
  </w:abstractNum>
  <w:abstractNum w:abstractNumId="11">
    <w:nsid w:val="62005DA5"/>
    <w:multiLevelType w:val="multilevel"/>
    <w:tmpl w:val="AD0630DC"/>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9F4988"/>
    <w:multiLevelType w:val="hybridMultilevel"/>
    <w:tmpl w:val="28F6D50A"/>
    <w:lvl w:ilvl="0" w:tplc="AFC0D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DC0D76"/>
    <w:multiLevelType w:val="hybridMultilevel"/>
    <w:tmpl w:val="CCD8FE24"/>
    <w:lvl w:ilvl="0" w:tplc="7BCA511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6FE167C5"/>
    <w:multiLevelType w:val="hybridMultilevel"/>
    <w:tmpl w:val="5F74643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75D70B9F"/>
    <w:multiLevelType w:val="multilevel"/>
    <w:tmpl w:val="F300F86A"/>
    <w:lvl w:ilvl="0">
      <w:start w:val="1"/>
      <w:numFmt w:val="decimal"/>
      <w:lvlText w:val="%1."/>
      <w:lvlJc w:val="left"/>
      <w:pPr>
        <w:tabs>
          <w:tab w:val="num" w:pos="720"/>
        </w:tabs>
        <w:ind w:left="720" w:hanging="720"/>
      </w:pPr>
      <w:rPr>
        <w:rFonts w:hint="default"/>
        <w:b w:val="0"/>
        <w:i w:val="0"/>
        <w:u w:val="none"/>
      </w:rPr>
    </w:lvl>
    <w:lvl w:ilvl="1">
      <w:start w:val="1"/>
      <w:numFmt w:val="lowerRoman"/>
      <w:lvlText w:val="%2)"/>
      <w:lvlJc w:val="left"/>
      <w:pPr>
        <w:tabs>
          <w:tab w:val="num" w:pos="1418"/>
        </w:tabs>
        <w:ind w:left="1418" w:hanging="709"/>
      </w:pPr>
      <w:rPr>
        <w:rFonts w:hint="default"/>
        <w:b w:val="0"/>
        <w:i w:val="0"/>
      </w:rPr>
    </w:lvl>
    <w:lvl w:ilvl="2">
      <w:start w:val="1"/>
      <w:numFmt w:val="lowerLetter"/>
      <w:lvlText w:val="%3)"/>
      <w:lvlJc w:val="left"/>
      <w:pPr>
        <w:tabs>
          <w:tab w:val="num" w:pos="2127"/>
        </w:tabs>
        <w:ind w:left="2127" w:hanging="709"/>
      </w:pPr>
      <w:rPr>
        <w:rFonts w:hint="default"/>
      </w:rPr>
    </w:lvl>
    <w:lvl w:ilvl="3">
      <w:start w:val="1"/>
      <w:numFmt w:val="lowerRoman"/>
      <w:lvlText w:val="%4)"/>
      <w:lvlJc w:val="left"/>
      <w:pPr>
        <w:tabs>
          <w:tab w:val="num" w:pos="3207"/>
        </w:tabs>
        <w:ind w:left="2836" w:hanging="709"/>
      </w:pPr>
      <w:rPr>
        <w:rFonts w:hint="default"/>
      </w:rPr>
    </w:lvl>
    <w:lvl w:ilvl="4">
      <w:start w:val="1"/>
      <w:numFmt w:val="lowerLetter"/>
      <w:lvlText w:val="(%5)"/>
      <w:lvlJc w:val="left"/>
      <w:pPr>
        <w:tabs>
          <w:tab w:val="num" w:pos="3545"/>
        </w:tabs>
        <w:ind w:left="3545" w:hanging="709"/>
      </w:pPr>
      <w:rPr>
        <w:rFonts w:hint="default"/>
      </w:rPr>
    </w:lvl>
    <w:lvl w:ilvl="5">
      <w:start w:val="1"/>
      <w:numFmt w:val="lowerRoman"/>
      <w:lvlText w:val="(%6)"/>
      <w:lvlJc w:val="left"/>
      <w:pPr>
        <w:tabs>
          <w:tab w:val="num" w:pos="4625"/>
        </w:tabs>
        <w:ind w:left="4254" w:hanging="709"/>
      </w:pPr>
      <w:rPr>
        <w:rFonts w:hint="default"/>
      </w:rPr>
    </w:lvl>
    <w:lvl w:ilvl="6">
      <w:start w:val="1"/>
      <w:numFmt w:val="lowerLetter"/>
      <w:lvlText w:val="(%7)"/>
      <w:lvlJc w:val="left"/>
      <w:pPr>
        <w:tabs>
          <w:tab w:val="num" w:pos="4963"/>
        </w:tabs>
        <w:ind w:left="4963" w:hanging="709"/>
      </w:pPr>
      <w:rPr>
        <w:rFonts w:hint="default"/>
      </w:rPr>
    </w:lvl>
    <w:lvl w:ilvl="7">
      <w:start w:val="1"/>
      <w:numFmt w:val="lowerRoman"/>
      <w:lvlText w:val="(%8)"/>
      <w:lvlJc w:val="left"/>
      <w:pPr>
        <w:tabs>
          <w:tab w:val="num" w:pos="6043"/>
        </w:tabs>
        <w:ind w:left="5672" w:hanging="709"/>
      </w:pPr>
      <w:rPr>
        <w:rFonts w:hint="default"/>
      </w:rPr>
    </w:lvl>
    <w:lvl w:ilvl="8">
      <w:start w:val="1"/>
      <w:numFmt w:val="lowerLetter"/>
      <w:lvlText w:val="(%9)"/>
      <w:lvlJc w:val="left"/>
      <w:pPr>
        <w:tabs>
          <w:tab w:val="num" w:pos="6381"/>
        </w:tabs>
        <w:ind w:left="6381" w:hanging="709"/>
      </w:pPr>
      <w:rPr>
        <w:rFonts w:hint="default"/>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0"/>
  </w:num>
  <w:num w:numId="11">
    <w:abstractNumId w:val="13"/>
  </w:num>
  <w:num w:numId="12">
    <w:abstractNumId w:val="0"/>
  </w:num>
  <w:num w:numId="13">
    <w:abstractNumId w:val="8"/>
  </w:num>
  <w:num w:numId="14">
    <w:abstractNumId w:val="1"/>
  </w:num>
  <w:num w:numId="15">
    <w:abstractNumId w:val="4"/>
  </w:num>
  <w:num w:numId="16">
    <w:abstractNumId w:val="6"/>
  </w:num>
  <w:num w:numId="17">
    <w:abstractNumId w:val="11"/>
  </w:num>
  <w:num w:numId="18">
    <w:abstractNumId w:val="9"/>
  </w:num>
  <w:num w:numId="19">
    <w:abstractNumId w:val="7"/>
  </w:num>
  <w:num w:numId="20">
    <w:abstractNumId w:val="14"/>
  </w:num>
  <w:num w:numId="21">
    <w:abstractNumId w:val="12"/>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721"/>
    <w:rsid w:val="0000277B"/>
    <w:rsid w:val="000037AE"/>
    <w:rsid w:val="000047BD"/>
    <w:rsid w:val="0000534C"/>
    <w:rsid w:val="00005B70"/>
    <w:rsid w:val="00010841"/>
    <w:rsid w:val="00012EE7"/>
    <w:rsid w:val="00013786"/>
    <w:rsid w:val="00014449"/>
    <w:rsid w:val="0001598E"/>
    <w:rsid w:val="00021C91"/>
    <w:rsid w:val="00027BEB"/>
    <w:rsid w:val="00030A49"/>
    <w:rsid w:val="00031A3E"/>
    <w:rsid w:val="00031B5E"/>
    <w:rsid w:val="00032220"/>
    <w:rsid w:val="0003487F"/>
    <w:rsid w:val="000365AB"/>
    <w:rsid w:val="00036D82"/>
    <w:rsid w:val="0004119D"/>
    <w:rsid w:val="000427E0"/>
    <w:rsid w:val="00042B11"/>
    <w:rsid w:val="00042C14"/>
    <w:rsid w:val="00044387"/>
    <w:rsid w:val="00047DAD"/>
    <w:rsid w:val="00050487"/>
    <w:rsid w:val="00050781"/>
    <w:rsid w:val="00050E73"/>
    <w:rsid w:val="00050F15"/>
    <w:rsid w:val="00051923"/>
    <w:rsid w:val="000525DE"/>
    <w:rsid w:val="000535D5"/>
    <w:rsid w:val="00053DD9"/>
    <w:rsid w:val="00053DF1"/>
    <w:rsid w:val="000544B9"/>
    <w:rsid w:val="00054EEF"/>
    <w:rsid w:val="00055997"/>
    <w:rsid w:val="0005685A"/>
    <w:rsid w:val="00062A82"/>
    <w:rsid w:val="00062C8E"/>
    <w:rsid w:val="000643E5"/>
    <w:rsid w:val="00070E1A"/>
    <w:rsid w:val="00076317"/>
    <w:rsid w:val="000773EA"/>
    <w:rsid w:val="00080CFB"/>
    <w:rsid w:val="00084CB3"/>
    <w:rsid w:val="00095320"/>
    <w:rsid w:val="0009534B"/>
    <w:rsid w:val="000A0213"/>
    <w:rsid w:val="000A02FF"/>
    <w:rsid w:val="000A0D41"/>
    <w:rsid w:val="000A1FCA"/>
    <w:rsid w:val="000A2827"/>
    <w:rsid w:val="000A4095"/>
    <w:rsid w:val="000A41B3"/>
    <w:rsid w:val="000A4B71"/>
    <w:rsid w:val="000A4EFF"/>
    <w:rsid w:val="000A6345"/>
    <w:rsid w:val="000A6825"/>
    <w:rsid w:val="000A6C96"/>
    <w:rsid w:val="000B050C"/>
    <w:rsid w:val="000B0E4A"/>
    <w:rsid w:val="000B15DF"/>
    <w:rsid w:val="000B4722"/>
    <w:rsid w:val="000B5410"/>
    <w:rsid w:val="000B5747"/>
    <w:rsid w:val="000C414A"/>
    <w:rsid w:val="000C799D"/>
    <w:rsid w:val="000D1CE3"/>
    <w:rsid w:val="000D2A77"/>
    <w:rsid w:val="000D5412"/>
    <w:rsid w:val="000E05F4"/>
    <w:rsid w:val="000E11CD"/>
    <w:rsid w:val="000E1A14"/>
    <w:rsid w:val="000E2FC6"/>
    <w:rsid w:val="000E7ADF"/>
    <w:rsid w:val="000F145B"/>
    <w:rsid w:val="000F610E"/>
    <w:rsid w:val="000F69FA"/>
    <w:rsid w:val="000F6FD7"/>
    <w:rsid w:val="00100646"/>
    <w:rsid w:val="00107E88"/>
    <w:rsid w:val="00112DC1"/>
    <w:rsid w:val="001141F6"/>
    <w:rsid w:val="001145D0"/>
    <w:rsid w:val="00120DB9"/>
    <w:rsid w:val="00121A2B"/>
    <w:rsid w:val="00121FF9"/>
    <w:rsid w:val="00122B02"/>
    <w:rsid w:val="0012323A"/>
    <w:rsid w:val="00123C9B"/>
    <w:rsid w:val="00124892"/>
    <w:rsid w:val="001248E6"/>
    <w:rsid w:val="00130358"/>
    <w:rsid w:val="00130C27"/>
    <w:rsid w:val="00131233"/>
    <w:rsid w:val="0013275D"/>
    <w:rsid w:val="00133F3B"/>
    <w:rsid w:val="00134DA7"/>
    <w:rsid w:val="001375AA"/>
    <w:rsid w:val="0014707C"/>
    <w:rsid w:val="00152DA9"/>
    <w:rsid w:val="00153A51"/>
    <w:rsid w:val="001556A6"/>
    <w:rsid w:val="00161D1B"/>
    <w:rsid w:val="00162393"/>
    <w:rsid w:val="00163523"/>
    <w:rsid w:val="0016686C"/>
    <w:rsid w:val="00167088"/>
    <w:rsid w:val="00167678"/>
    <w:rsid w:val="001708FB"/>
    <w:rsid w:val="00170A1F"/>
    <w:rsid w:val="001720EE"/>
    <w:rsid w:val="0017267C"/>
    <w:rsid w:val="0017288E"/>
    <w:rsid w:val="00174D9D"/>
    <w:rsid w:val="00177180"/>
    <w:rsid w:val="00182633"/>
    <w:rsid w:val="0018696C"/>
    <w:rsid w:val="0018752E"/>
    <w:rsid w:val="0019100E"/>
    <w:rsid w:val="001912BB"/>
    <w:rsid w:val="00191CB5"/>
    <w:rsid w:val="001924B6"/>
    <w:rsid w:val="00194173"/>
    <w:rsid w:val="001971F9"/>
    <w:rsid w:val="001A270E"/>
    <w:rsid w:val="001A3A37"/>
    <w:rsid w:val="001A61EF"/>
    <w:rsid w:val="001B094A"/>
    <w:rsid w:val="001B394F"/>
    <w:rsid w:val="001B5ADA"/>
    <w:rsid w:val="001B6E49"/>
    <w:rsid w:val="001C03F1"/>
    <w:rsid w:val="001C20F0"/>
    <w:rsid w:val="001C2AF2"/>
    <w:rsid w:val="001C3339"/>
    <w:rsid w:val="001C475D"/>
    <w:rsid w:val="001C565C"/>
    <w:rsid w:val="001C5E37"/>
    <w:rsid w:val="001D6279"/>
    <w:rsid w:val="001D6695"/>
    <w:rsid w:val="001D6B9D"/>
    <w:rsid w:val="001E0CE2"/>
    <w:rsid w:val="001E1669"/>
    <w:rsid w:val="001E2183"/>
    <w:rsid w:val="001E2869"/>
    <w:rsid w:val="001E3C4E"/>
    <w:rsid w:val="001E4314"/>
    <w:rsid w:val="001E5791"/>
    <w:rsid w:val="001E6BF0"/>
    <w:rsid w:val="001F00D5"/>
    <w:rsid w:val="001F0880"/>
    <w:rsid w:val="001F3401"/>
    <w:rsid w:val="001F7649"/>
    <w:rsid w:val="001F7791"/>
    <w:rsid w:val="00200AEE"/>
    <w:rsid w:val="00200F75"/>
    <w:rsid w:val="00201F4C"/>
    <w:rsid w:val="00204028"/>
    <w:rsid w:val="00204AAF"/>
    <w:rsid w:val="002071B4"/>
    <w:rsid w:val="00207A9B"/>
    <w:rsid w:val="002126C7"/>
    <w:rsid w:val="002130CD"/>
    <w:rsid w:val="00214873"/>
    <w:rsid w:val="00214C47"/>
    <w:rsid w:val="002164A0"/>
    <w:rsid w:val="00217C46"/>
    <w:rsid w:val="00223439"/>
    <w:rsid w:val="00224983"/>
    <w:rsid w:val="00224AF2"/>
    <w:rsid w:val="00224BCF"/>
    <w:rsid w:val="00225423"/>
    <w:rsid w:val="002326A5"/>
    <w:rsid w:val="00234138"/>
    <w:rsid w:val="0023484B"/>
    <w:rsid w:val="0023540C"/>
    <w:rsid w:val="00237414"/>
    <w:rsid w:val="00237CAC"/>
    <w:rsid w:val="00237DFF"/>
    <w:rsid w:val="0024110F"/>
    <w:rsid w:val="00242302"/>
    <w:rsid w:val="00244678"/>
    <w:rsid w:val="00245911"/>
    <w:rsid w:val="00250D28"/>
    <w:rsid w:val="0025492C"/>
    <w:rsid w:val="00256F91"/>
    <w:rsid w:val="00263B5F"/>
    <w:rsid w:val="00263D3F"/>
    <w:rsid w:val="00265B82"/>
    <w:rsid w:val="00270630"/>
    <w:rsid w:val="00271599"/>
    <w:rsid w:val="00273C7F"/>
    <w:rsid w:val="00274714"/>
    <w:rsid w:val="00276959"/>
    <w:rsid w:val="002836DB"/>
    <w:rsid w:val="0028686F"/>
    <w:rsid w:val="002874B9"/>
    <w:rsid w:val="0029016E"/>
    <w:rsid w:val="00292B12"/>
    <w:rsid w:val="002930F5"/>
    <w:rsid w:val="002A08FE"/>
    <w:rsid w:val="002A0C43"/>
    <w:rsid w:val="002A1D47"/>
    <w:rsid w:val="002A361C"/>
    <w:rsid w:val="002A40A2"/>
    <w:rsid w:val="002A4DE6"/>
    <w:rsid w:val="002B0051"/>
    <w:rsid w:val="002B28A3"/>
    <w:rsid w:val="002B2E94"/>
    <w:rsid w:val="002B34F4"/>
    <w:rsid w:val="002B7E3E"/>
    <w:rsid w:val="002C3912"/>
    <w:rsid w:val="002C4CEF"/>
    <w:rsid w:val="002C557B"/>
    <w:rsid w:val="002C5ED5"/>
    <w:rsid w:val="002C688F"/>
    <w:rsid w:val="002C69B5"/>
    <w:rsid w:val="002D3336"/>
    <w:rsid w:val="002D4E4E"/>
    <w:rsid w:val="002D6A12"/>
    <w:rsid w:val="002D7119"/>
    <w:rsid w:val="002E0EF7"/>
    <w:rsid w:val="002E48BC"/>
    <w:rsid w:val="002E5297"/>
    <w:rsid w:val="002E53AF"/>
    <w:rsid w:val="002E599B"/>
    <w:rsid w:val="002E5F26"/>
    <w:rsid w:val="002E64CD"/>
    <w:rsid w:val="002E6535"/>
    <w:rsid w:val="002E737E"/>
    <w:rsid w:val="002E73E1"/>
    <w:rsid w:val="002E77C3"/>
    <w:rsid w:val="002E7BB9"/>
    <w:rsid w:val="002E7E4F"/>
    <w:rsid w:val="002F1678"/>
    <w:rsid w:val="002F18A4"/>
    <w:rsid w:val="002F1D17"/>
    <w:rsid w:val="002F2638"/>
    <w:rsid w:val="002F57E6"/>
    <w:rsid w:val="002F7831"/>
    <w:rsid w:val="00300721"/>
    <w:rsid w:val="00301DB8"/>
    <w:rsid w:val="00303196"/>
    <w:rsid w:val="00303636"/>
    <w:rsid w:val="0030521F"/>
    <w:rsid w:val="003059E5"/>
    <w:rsid w:val="003076EF"/>
    <w:rsid w:val="003110AF"/>
    <w:rsid w:val="0031191B"/>
    <w:rsid w:val="00313F25"/>
    <w:rsid w:val="0031408D"/>
    <w:rsid w:val="0031462F"/>
    <w:rsid w:val="00317AA8"/>
    <w:rsid w:val="00317BF8"/>
    <w:rsid w:val="003200D6"/>
    <w:rsid w:val="0032168A"/>
    <w:rsid w:val="003261F9"/>
    <w:rsid w:val="00334D54"/>
    <w:rsid w:val="00334DA9"/>
    <w:rsid w:val="00335575"/>
    <w:rsid w:val="00335716"/>
    <w:rsid w:val="00337662"/>
    <w:rsid w:val="00341CD4"/>
    <w:rsid w:val="00341EA7"/>
    <w:rsid w:val="00343D8D"/>
    <w:rsid w:val="003442BE"/>
    <w:rsid w:val="00347484"/>
    <w:rsid w:val="0034783B"/>
    <w:rsid w:val="00351D39"/>
    <w:rsid w:val="00352509"/>
    <w:rsid w:val="00353D63"/>
    <w:rsid w:val="00354655"/>
    <w:rsid w:val="00354983"/>
    <w:rsid w:val="00354BBD"/>
    <w:rsid w:val="0035529D"/>
    <w:rsid w:val="00357AE3"/>
    <w:rsid w:val="00357F9A"/>
    <w:rsid w:val="00361CE0"/>
    <w:rsid w:val="0036261D"/>
    <w:rsid w:val="0036496C"/>
    <w:rsid w:val="00365DAC"/>
    <w:rsid w:val="003709A3"/>
    <w:rsid w:val="00372202"/>
    <w:rsid w:val="00372962"/>
    <w:rsid w:val="00380B9D"/>
    <w:rsid w:val="00382F41"/>
    <w:rsid w:val="00383EA2"/>
    <w:rsid w:val="00383FFE"/>
    <w:rsid w:val="00384D25"/>
    <w:rsid w:val="00385168"/>
    <w:rsid w:val="00392C23"/>
    <w:rsid w:val="00393F2B"/>
    <w:rsid w:val="00396A5C"/>
    <w:rsid w:val="0039750A"/>
    <w:rsid w:val="003975DB"/>
    <w:rsid w:val="00397CFA"/>
    <w:rsid w:val="003A21DE"/>
    <w:rsid w:val="003A260F"/>
    <w:rsid w:val="003A2D59"/>
    <w:rsid w:val="003A7C4D"/>
    <w:rsid w:val="003B0D70"/>
    <w:rsid w:val="003B28F6"/>
    <w:rsid w:val="003B3301"/>
    <w:rsid w:val="003B4E3C"/>
    <w:rsid w:val="003B6F77"/>
    <w:rsid w:val="003C0D85"/>
    <w:rsid w:val="003C2FB8"/>
    <w:rsid w:val="003C3C96"/>
    <w:rsid w:val="003C6219"/>
    <w:rsid w:val="003D1C29"/>
    <w:rsid w:val="003D1C5B"/>
    <w:rsid w:val="003D2674"/>
    <w:rsid w:val="003D372F"/>
    <w:rsid w:val="003D57F6"/>
    <w:rsid w:val="003D5DB4"/>
    <w:rsid w:val="003D6983"/>
    <w:rsid w:val="003E11B8"/>
    <w:rsid w:val="003E3A9B"/>
    <w:rsid w:val="003E6753"/>
    <w:rsid w:val="003E7C3B"/>
    <w:rsid w:val="003F0941"/>
    <w:rsid w:val="003F0EAA"/>
    <w:rsid w:val="003F1470"/>
    <w:rsid w:val="003F152B"/>
    <w:rsid w:val="003F23E4"/>
    <w:rsid w:val="003F2909"/>
    <w:rsid w:val="003F7256"/>
    <w:rsid w:val="00401481"/>
    <w:rsid w:val="00402714"/>
    <w:rsid w:val="00403F28"/>
    <w:rsid w:val="00404F46"/>
    <w:rsid w:val="00405229"/>
    <w:rsid w:val="00405B8B"/>
    <w:rsid w:val="00406581"/>
    <w:rsid w:val="00407E14"/>
    <w:rsid w:val="00407E6E"/>
    <w:rsid w:val="00411006"/>
    <w:rsid w:val="004113A8"/>
    <w:rsid w:val="00413178"/>
    <w:rsid w:val="00413300"/>
    <w:rsid w:val="004161D8"/>
    <w:rsid w:val="0041652A"/>
    <w:rsid w:val="004179D7"/>
    <w:rsid w:val="0042084D"/>
    <w:rsid w:val="004219B0"/>
    <w:rsid w:val="0042246C"/>
    <w:rsid w:val="0042354D"/>
    <w:rsid w:val="00425732"/>
    <w:rsid w:val="004303A6"/>
    <w:rsid w:val="004312D9"/>
    <w:rsid w:val="0043299B"/>
    <w:rsid w:val="00433EFB"/>
    <w:rsid w:val="00441D0F"/>
    <w:rsid w:val="004449FE"/>
    <w:rsid w:val="00445956"/>
    <w:rsid w:val="00445E9E"/>
    <w:rsid w:val="004467C3"/>
    <w:rsid w:val="00450135"/>
    <w:rsid w:val="00450C8A"/>
    <w:rsid w:val="00454B50"/>
    <w:rsid w:val="004579C4"/>
    <w:rsid w:val="00460294"/>
    <w:rsid w:val="00460A73"/>
    <w:rsid w:val="00462F35"/>
    <w:rsid w:val="004630F1"/>
    <w:rsid w:val="0046466F"/>
    <w:rsid w:val="0046558F"/>
    <w:rsid w:val="0046645E"/>
    <w:rsid w:val="00466753"/>
    <w:rsid w:val="00466F08"/>
    <w:rsid w:val="00467C4D"/>
    <w:rsid w:val="004724FE"/>
    <w:rsid w:val="00473EBD"/>
    <w:rsid w:val="0047471C"/>
    <w:rsid w:val="00476436"/>
    <w:rsid w:val="004802EC"/>
    <w:rsid w:val="00483C5A"/>
    <w:rsid w:val="004851AF"/>
    <w:rsid w:val="00486BD4"/>
    <w:rsid w:val="0048767B"/>
    <w:rsid w:val="00487D18"/>
    <w:rsid w:val="004913A9"/>
    <w:rsid w:val="0049247C"/>
    <w:rsid w:val="0049400A"/>
    <w:rsid w:val="00494E88"/>
    <w:rsid w:val="004A16E8"/>
    <w:rsid w:val="004A1C52"/>
    <w:rsid w:val="004A40EE"/>
    <w:rsid w:val="004A598E"/>
    <w:rsid w:val="004B057B"/>
    <w:rsid w:val="004B0700"/>
    <w:rsid w:val="004B165E"/>
    <w:rsid w:val="004B514A"/>
    <w:rsid w:val="004B6193"/>
    <w:rsid w:val="004C0347"/>
    <w:rsid w:val="004C2116"/>
    <w:rsid w:val="004C315C"/>
    <w:rsid w:val="004C3F15"/>
    <w:rsid w:val="004C4124"/>
    <w:rsid w:val="004C77FD"/>
    <w:rsid w:val="004D00B6"/>
    <w:rsid w:val="004D04E4"/>
    <w:rsid w:val="004D0E88"/>
    <w:rsid w:val="004D18C6"/>
    <w:rsid w:val="004D3C2A"/>
    <w:rsid w:val="004D453B"/>
    <w:rsid w:val="004D4751"/>
    <w:rsid w:val="004D5448"/>
    <w:rsid w:val="004D58A8"/>
    <w:rsid w:val="004D64E5"/>
    <w:rsid w:val="004D66C1"/>
    <w:rsid w:val="004D7C37"/>
    <w:rsid w:val="004E0B4C"/>
    <w:rsid w:val="004E1C1C"/>
    <w:rsid w:val="004E2056"/>
    <w:rsid w:val="004E37B4"/>
    <w:rsid w:val="004E4040"/>
    <w:rsid w:val="004E4123"/>
    <w:rsid w:val="004E5C4B"/>
    <w:rsid w:val="004E643A"/>
    <w:rsid w:val="004F09E6"/>
    <w:rsid w:val="004F2C52"/>
    <w:rsid w:val="004F4616"/>
    <w:rsid w:val="004F6465"/>
    <w:rsid w:val="0050131A"/>
    <w:rsid w:val="00501472"/>
    <w:rsid w:val="005053F9"/>
    <w:rsid w:val="00505B8A"/>
    <w:rsid w:val="0051137C"/>
    <w:rsid w:val="00511B39"/>
    <w:rsid w:val="005121FA"/>
    <w:rsid w:val="0051467E"/>
    <w:rsid w:val="00514F40"/>
    <w:rsid w:val="00517968"/>
    <w:rsid w:val="00520324"/>
    <w:rsid w:val="00521335"/>
    <w:rsid w:val="005216C4"/>
    <w:rsid w:val="00521FCF"/>
    <w:rsid w:val="005222F3"/>
    <w:rsid w:val="005239EA"/>
    <w:rsid w:val="00523D8C"/>
    <w:rsid w:val="00525B4B"/>
    <w:rsid w:val="00525C11"/>
    <w:rsid w:val="00526E5E"/>
    <w:rsid w:val="00526F70"/>
    <w:rsid w:val="005319AD"/>
    <w:rsid w:val="0053556B"/>
    <w:rsid w:val="005406F5"/>
    <w:rsid w:val="005425D5"/>
    <w:rsid w:val="00545161"/>
    <w:rsid w:val="00546E5C"/>
    <w:rsid w:val="00552F36"/>
    <w:rsid w:val="005579E8"/>
    <w:rsid w:val="00561D63"/>
    <w:rsid w:val="00561E95"/>
    <w:rsid w:val="005631C5"/>
    <w:rsid w:val="00563891"/>
    <w:rsid w:val="00565D4C"/>
    <w:rsid w:val="00566D83"/>
    <w:rsid w:val="00567AC1"/>
    <w:rsid w:val="0057415B"/>
    <w:rsid w:val="00577272"/>
    <w:rsid w:val="005800CA"/>
    <w:rsid w:val="005811DD"/>
    <w:rsid w:val="00582DDE"/>
    <w:rsid w:val="00583FAF"/>
    <w:rsid w:val="00586385"/>
    <w:rsid w:val="005926B9"/>
    <w:rsid w:val="0059313C"/>
    <w:rsid w:val="0059497E"/>
    <w:rsid w:val="005A064E"/>
    <w:rsid w:val="005A0AED"/>
    <w:rsid w:val="005A202C"/>
    <w:rsid w:val="005A3A94"/>
    <w:rsid w:val="005A4150"/>
    <w:rsid w:val="005A56E3"/>
    <w:rsid w:val="005B0522"/>
    <w:rsid w:val="005B248E"/>
    <w:rsid w:val="005B32E8"/>
    <w:rsid w:val="005B6DC9"/>
    <w:rsid w:val="005B72D7"/>
    <w:rsid w:val="005B7DB2"/>
    <w:rsid w:val="005C0640"/>
    <w:rsid w:val="005C25F2"/>
    <w:rsid w:val="005C38AD"/>
    <w:rsid w:val="005C3EFF"/>
    <w:rsid w:val="005C6AE0"/>
    <w:rsid w:val="005C7F0E"/>
    <w:rsid w:val="005D2908"/>
    <w:rsid w:val="005D29A8"/>
    <w:rsid w:val="005D5816"/>
    <w:rsid w:val="005D752B"/>
    <w:rsid w:val="005E07BC"/>
    <w:rsid w:val="005E0DCE"/>
    <w:rsid w:val="005E148F"/>
    <w:rsid w:val="005E1940"/>
    <w:rsid w:val="005E2342"/>
    <w:rsid w:val="005E2E96"/>
    <w:rsid w:val="005E3EA6"/>
    <w:rsid w:val="005E7783"/>
    <w:rsid w:val="005E7B21"/>
    <w:rsid w:val="005E7F09"/>
    <w:rsid w:val="005F06CE"/>
    <w:rsid w:val="005F1A46"/>
    <w:rsid w:val="005F1D37"/>
    <w:rsid w:val="005F1F21"/>
    <w:rsid w:val="005F2032"/>
    <w:rsid w:val="006010A9"/>
    <w:rsid w:val="006044E7"/>
    <w:rsid w:val="006072D6"/>
    <w:rsid w:val="006077D6"/>
    <w:rsid w:val="006101CD"/>
    <w:rsid w:val="00611377"/>
    <w:rsid w:val="00611C15"/>
    <w:rsid w:val="00611D6E"/>
    <w:rsid w:val="00612B83"/>
    <w:rsid w:val="00614DFD"/>
    <w:rsid w:val="006151A6"/>
    <w:rsid w:val="006234D9"/>
    <w:rsid w:val="0062524F"/>
    <w:rsid w:val="00631850"/>
    <w:rsid w:val="00631855"/>
    <w:rsid w:val="00631D4F"/>
    <w:rsid w:val="00632F34"/>
    <w:rsid w:val="00633434"/>
    <w:rsid w:val="0063767F"/>
    <w:rsid w:val="006403B0"/>
    <w:rsid w:val="0064267B"/>
    <w:rsid w:val="00642C71"/>
    <w:rsid w:val="00644790"/>
    <w:rsid w:val="00647981"/>
    <w:rsid w:val="00647FCF"/>
    <w:rsid w:val="0065120C"/>
    <w:rsid w:val="00652946"/>
    <w:rsid w:val="00653CFF"/>
    <w:rsid w:val="006565DA"/>
    <w:rsid w:val="00657B19"/>
    <w:rsid w:val="00660358"/>
    <w:rsid w:val="00660D83"/>
    <w:rsid w:val="00660DB4"/>
    <w:rsid w:val="00661136"/>
    <w:rsid w:val="00663D16"/>
    <w:rsid w:val="00664884"/>
    <w:rsid w:val="006652C9"/>
    <w:rsid w:val="006669D3"/>
    <w:rsid w:val="00666B2B"/>
    <w:rsid w:val="00667FC1"/>
    <w:rsid w:val="006702FB"/>
    <w:rsid w:val="006709F8"/>
    <w:rsid w:val="006719DA"/>
    <w:rsid w:val="006728EE"/>
    <w:rsid w:val="00675B36"/>
    <w:rsid w:val="00680D32"/>
    <w:rsid w:val="0068170D"/>
    <w:rsid w:val="00682998"/>
    <w:rsid w:val="00683A97"/>
    <w:rsid w:val="00683EF5"/>
    <w:rsid w:val="00687DE6"/>
    <w:rsid w:val="006905AA"/>
    <w:rsid w:val="0069077C"/>
    <w:rsid w:val="006929FA"/>
    <w:rsid w:val="00693778"/>
    <w:rsid w:val="00694C82"/>
    <w:rsid w:val="00696359"/>
    <w:rsid w:val="00697269"/>
    <w:rsid w:val="00697A85"/>
    <w:rsid w:val="006A08B4"/>
    <w:rsid w:val="006A135F"/>
    <w:rsid w:val="006A71A7"/>
    <w:rsid w:val="006B1C9B"/>
    <w:rsid w:val="006B1CF1"/>
    <w:rsid w:val="006B329F"/>
    <w:rsid w:val="006B3517"/>
    <w:rsid w:val="006B3AFE"/>
    <w:rsid w:val="006B4AD0"/>
    <w:rsid w:val="006B6CEE"/>
    <w:rsid w:val="006C542F"/>
    <w:rsid w:val="006C6558"/>
    <w:rsid w:val="006D07DF"/>
    <w:rsid w:val="006E068B"/>
    <w:rsid w:val="006E319D"/>
    <w:rsid w:val="006E6DA5"/>
    <w:rsid w:val="006F0364"/>
    <w:rsid w:val="006F290A"/>
    <w:rsid w:val="006F49A2"/>
    <w:rsid w:val="006F6E31"/>
    <w:rsid w:val="006F6F91"/>
    <w:rsid w:val="007054BE"/>
    <w:rsid w:val="00707792"/>
    <w:rsid w:val="007078EC"/>
    <w:rsid w:val="00710830"/>
    <w:rsid w:val="007135F4"/>
    <w:rsid w:val="00717941"/>
    <w:rsid w:val="007214C6"/>
    <w:rsid w:val="00721728"/>
    <w:rsid w:val="00726527"/>
    <w:rsid w:val="0073029E"/>
    <w:rsid w:val="00730F69"/>
    <w:rsid w:val="00732441"/>
    <w:rsid w:val="00736565"/>
    <w:rsid w:val="00737DC7"/>
    <w:rsid w:val="0074039E"/>
    <w:rsid w:val="00746401"/>
    <w:rsid w:val="00752D79"/>
    <w:rsid w:val="0075537D"/>
    <w:rsid w:val="00755E36"/>
    <w:rsid w:val="007560F7"/>
    <w:rsid w:val="00762FA2"/>
    <w:rsid w:val="00765D7C"/>
    <w:rsid w:val="00770C3C"/>
    <w:rsid w:val="00771C6C"/>
    <w:rsid w:val="00774C2E"/>
    <w:rsid w:val="0078211A"/>
    <w:rsid w:val="0078361A"/>
    <w:rsid w:val="00784D86"/>
    <w:rsid w:val="0078637C"/>
    <w:rsid w:val="00786644"/>
    <w:rsid w:val="00786AB0"/>
    <w:rsid w:val="00786BC0"/>
    <w:rsid w:val="00787F60"/>
    <w:rsid w:val="00791ADA"/>
    <w:rsid w:val="00793218"/>
    <w:rsid w:val="007953CB"/>
    <w:rsid w:val="00796DA9"/>
    <w:rsid w:val="007A1926"/>
    <w:rsid w:val="007A463D"/>
    <w:rsid w:val="007A580F"/>
    <w:rsid w:val="007B0919"/>
    <w:rsid w:val="007B213C"/>
    <w:rsid w:val="007B2348"/>
    <w:rsid w:val="007B3BB1"/>
    <w:rsid w:val="007B5DB5"/>
    <w:rsid w:val="007B662D"/>
    <w:rsid w:val="007B76CC"/>
    <w:rsid w:val="007C3135"/>
    <w:rsid w:val="007C496D"/>
    <w:rsid w:val="007C4F94"/>
    <w:rsid w:val="007C6639"/>
    <w:rsid w:val="007C784D"/>
    <w:rsid w:val="007D1411"/>
    <w:rsid w:val="007D1CBF"/>
    <w:rsid w:val="007D2FBE"/>
    <w:rsid w:val="007D3E2D"/>
    <w:rsid w:val="007D66CA"/>
    <w:rsid w:val="007D685B"/>
    <w:rsid w:val="007E1577"/>
    <w:rsid w:val="007E47A7"/>
    <w:rsid w:val="007E5219"/>
    <w:rsid w:val="007E54FE"/>
    <w:rsid w:val="007E59CF"/>
    <w:rsid w:val="007E6A3C"/>
    <w:rsid w:val="007E7390"/>
    <w:rsid w:val="007E747D"/>
    <w:rsid w:val="007E7B19"/>
    <w:rsid w:val="007F1375"/>
    <w:rsid w:val="007F2051"/>
    <w:rsid w:val="007F236D"/>
    <w:rsid w:val="007F59C3"/>
    <w:rsid w:val="007F666D"/>
    <w:rsid w:val="007F69D1"/>
    <w:rsid w:val="007F7CFA"/>
    <w:rsid w:val="00801A42"/>
    <w:rsid w:val="008046C6"/>
    <w:rsid w:val="00806E7F"/>
    <w:rsid w:val="00807747"/>
    <w:rsid w:val="008122F1"/>
    <w:rsid w:val="00813A25"/>
    <w:rsid w:val="0081624C"/>
    <w:rsid w:val="0082033A"/>
    <w:rsid w:val="00820347"/>
    <w:rsid w:val="00822098"/>
    <w:rsid w:val="0082258C"/>
    <w:rsid w:val="008260D7"/>
    <w:rsid w:val="008337CF"/>
    <w:rsid w:val="00835148"/>
    <w:rsid w:val="0083789B"/>
    <w:rsid w:val="0084041D"/>
    <w:rsid w:val="00847A61"/>
    <w:rsid w:val="00850B28"/>
    <w:rsid w:val="00855CA3"/>
    <w:rsid w:val="0086052C"/>
    <w:rsid w:val="00860EB4"/>
    <w:rsid w:val="0086194E"/>
    <w:rsid w:val="00862D58"/>
    <w:rsid w:val="00864C98"/>
    <w:rsid w:val="00866D98"/>
    <w:rsid w:val="00870B9D"/>
    <w:rsid w:val="00872415"/>
    <w:rsid w:val="008734CD"/>
    <w:rsid w:val="00873C92"/>
    <w:rsid w:val="0087642A"/>
    <w:rsid w:val="008770DD"/>
    <w:rsid w:val="00880A4F"/>
    <w:rsid w:val="00881403"/>
    <w:rsid w:val="00883319"/>
    <w:rsid w:val="0088487E"/>
    <w:rsid w:val="00890C0D"/>
    <w:rsid w:val="00891092"/>
    <w:rsid w:val="0089277B"/>
    <w:rsid w:val="00894F91"/>
    <w:rsid w:val="00896FED"/>
    <w:rsid w:val="008A1949"/>
    <w:rsid w:val="008A2BC5"/>
    <w:rsid w:val="008A2BFA"/>
    <w:rsid w:val="008A3CB7"/>
    <w:rsid w:val="008B01DF"/>
    <w:rsid w:val="008B1419"/>
    <w:rsid w:val="008B2F0E"/>
    <w:rsid w:val="008B3A05"/>
    <w:rsid w:val="008B41EF"/>
    <w:rsid w:val="008B470C"/>
    <w:rsid w:val="008B6C27"/>
    <w:rsid w:val="008B7721"/>
    <w:rsid w:val="008C03E8"/>
    <w:rsid w:val="008C273B"/>
    <w:rsid w:val="008C475B"/>
    <w:rsid w:val="008C50AE"/>
    <w:rsid w:val="008C7C14"/>
    <w:rsid w:val="008D13F0"/>
    <w:rsid w:val="008D1FDE"/>
    <w:rsid w:val="008D4152"/>
    <w:rsid w:val="008D5C19"/>
    <w:rsid w:val="008D60D3"/>
    <w:rsid w:val="008E17F1"/>
    <w:rsid w:val="008E34F7"/>
    <w:rsid w:val="008E3A89"/>
    <w:rsid w:val="008E3BBD"/>
    <w:rsid w:val="008E3CE3"/>
    <w:rsid w:val="008E6DE9"/>
    <w:rsid w:val="008E7C9F"/>
    <w:rsid w:val="008E7E3E"/>
    <w:rsid w:val="008F289C"/>
    <w:rsid w:val="008F47B5"/>
    <w:rsid w:val="008F5122"/>
    <w:rsid w:val="008F6F77"/>
    <w:rsid w:val="008F7C10"/>
    <w:rsid w:val="00901C1D"/>
    <w:rsid w:val="00902A73"/>
    <w:rsid w:val="00906656"/>
    <w:rsid w:val="00906A25"/>
    <w:rsid w:val="0090712C"/>
    <w:rsid w:val="00907F04"/>
    <w:rsid w:val="00910D83"/>
    <w:rsid w:val="009113D0"/>
    <w:rsid w:val="0091308F"/>
    <w:rsid w:val="00920A0E"/>
    <w:rsid w:val="00923E65"/>
    <w:rsid w:val="00925CE3"/>
    <w:rsid w:val="00927A87"/>
    <w:rsid w:val="00927B48"/>
    <w:rsid w:val="009300B1"/>
    <w:rsid w:val="009373A9"/>
    <w:rsid w:val="00937E0A"/>
    <w:rsid w:val="009412EC"/>
    <w:rsid w:val="00947F9E"/>
    <w:rsid w:val="00951CA2"/>
    <w:rsid w:val="00953532"/>
    <w:rsid w:val="00953706"/>
    <w:rsid w:val="009537B9"/>
    <w:rsid w:val="00954C91"/>
    <w:rsid w:val="00961781"/>
    <w:rsid w:val="00962834"/>
    <w:rsid w:val="00962C86"/>
    <w:rsid w:val="0097137E"/>
    <w:rsid w:val="00971B89"/>
    <w:rsid w:val="00973577"/>
    <w:rsid w:val="009737DD"/>
    <w:rsid w:val="00976536"/>
    <w:rsid w:val="0097684D"/>
    <w:rsid w:val="00976915"/>
    <w:rsid w:val="00977390"/>
    <w:rsid w:val="00981689"/>
    <w:rsid w:val="00982D10"/>
    <w:rsid w:val="009832D8"/>
    <w:rsid w:val="00983F9C"/>
    <w:rsid w:val="00995D4C"/>
    <w:rsid w:val="009961FB"/>
    <w:rsid w:val="009964AC"/>
    <w:rsid w:val="009A01E4"/>
    <w:rsid w:val="009A4306"/>
    <w:rsid w:val="009A70FA"/>
    <w:rsid w:val="009B20C6"/>
    <w:rsid w:val="009B22FF"/>
    <w:rsid w:val="009B2327"/>
    <w:rsid w:val="009B4986"/>
    <w:rsid w:val="009B5EC8"/>
    <w:rsid w:val="009B60DD"/>
    <w:rsid w:val="009B63A2"/>
    <w:rsid w:val="009C2853"/>
    <w:rsid w:val="009C315D"/>
    <w:rsid w:val="009C3B73"/>
    <w:rsid w:val="009C787F"/>
    <w:rsid w:val="009D16A5"/>
    <w:rsid w:val="009D1DF1"/>
    <w:rsid w:val="009D2D46"/>
    <w:rsid w:val="009D569A"/>
    <w:rsid w:val="009D59C4"/>
    <w:rsid w:val="009E2CE0"/>
    <w:rsid w:val="009E4653"/>
    <w:rsid w:val="009E7802"/>
    <w:rsid w:val="009F1146"/>
    <w:rsid w:val="009F2C51"/>
    <w:rsid w:val="009F3B28"/>
    <w:rsid w:val="009F486A"/>
    <w:rsid w:val="009F52F7"/>
    <w:rsid w:val="009F5318"/>
    <w:rsid w:val="009F6937"/>
    <w:rsid w:val="00A0074E"/>
    <w:rsid w:val="00A0141C"/>
    <w:rsid w:val="00A02185"/>
    <w:rsid w:val="00A02580"/>
    <w:rsid w:val="00A02A04"/>
    <w:rsid w:val="00A04B1D"/>
    <w:rsid w:val="00A11305"/>
    <w:rsid w:val="00A14092"/>
    <w:rsid w:val="00A141B4"/>
    <w:rsid w:val="00A20D5A"/>
    <w:rsid w:val="00A279C2"/>
    <w:rsid w:val="00A31019"/>
    <w:rsid w:val="00A35302"/>
    <w:rsid w:val="00A35E68"/>
    <w:rsid w:val="00A379B5"/>
    <w:rsid w:val="00A41C2B"/>
    <w:rsid w:val="00A41EAC"/>
    <w:rsid w:val="00A42048"/>
    <w:rsid w:val="00A4265C"/>
    <w:rsid w:val="00A42FEA"/>
    <w:rsid w:val="00A503E3"/>
    <w:rsid w:val="00A50BD5"/>
    <w:rsid w:val="00A51CDA"/>
    <w:rsid w:val="00A545AE"/>
    <w:rsid w:val="00A565DF"/>
    <w:rsid w:val="00A5786B"/>
    <w:rsid w:val="00A579A2"/>
    <w:rsid w:val="00A61034"/>
    <w:rsid w:val="00A61322"/>
    <w:rsid w:val="00A638DB"/>
    <w:rsid w:val="00A64709"/>
    <w:rsid w:val="00A651EB"/>
    <w:rsid w:val="00A7014E"/>
    <w:rsid w:val="00A703B7"/>
    <w:rsid w:val="00A714E1"/>
    <w:rsid w:val="00A85F6F"/>
    <w:rsid w:val="00A86FFA"/>
    <w:rsid w:val="00A90888"/>
    <w:rsid w:val="00A94EEE"/>
    <w:rsid w:val="00A95D27"/>
    <w:rsid w:val="00A9668B"/>
    <w:rsid w:val="00A975E3"/>
    <w:rsid w:val="00AA1F0A"/>
    <w:rsid w:val="00AA474A"/>
    <w:rsid w:val="00AA4DBB"/>
    <w:rsid w:val="00AA7E13"/>
    <w:rsid w:val="00AB32F8"/>
    <w:rsid w:val="00AB3DF6"/>
    <w:rsid w:val="00AB4212"/>
    <w:rsid w:val="00AC2805"/>
    <w:rsid w:val="00AC28B7"/>
    <w:rsid w:val="00AC298E"/>
    <w:rsid w:val="00AD3406"/>
    <w:rsid w:val="00AD6FB3"/>
    <w:rsid w:val="00AE2E87"/>
    <w:rsid w:val="00AE404F"/>
    <w:rsid w:val="00AE48C8"/>
    <w:rsid w:val="00AE4CE5"/>
    <w:rsid w:val="00AE676D"/>
    <w:rsid w:val="00AE6AF8"/>
    <w:rsid w:val="00AE7F3A"/>
    <w:rsid w:val="00AF1225"/>
    <w:rsid w:val="00AF16DE"/>
    <w:rsid w:val="00AF2B0B"/>
    <w:rsid w:val="00AF2FF9"/>
    <w:rsid w:val="00AF3280"/>
    <w:rsid w:val="00AF4790"/>
    <w:rsid w:val="00AF4B24"/>
    <w:rsid w:val="00AF506A"/>
    <w:rsid w:val="00AF778C"/>
    <w:rsid w:val="00B02358"/>
    <w:rsid w:val="00B02AD0"/>
    <w:rsid w:val="00B040FC"/>
    <w:rsid w:val="00B054F3"/>
    <w:rsid w:val="00B06412"/>
    <w:rsid w:val="00B0708A"/>
    <w:rsid w:val="00B07B4E"/>
    <w:rsid w:val="00B1223A"/>
    <w:rsid w:val="00B1269B"/>
    <w:rsid w:val="00B134B0"/>
    <w:rsid w:val="00B1363D"/>
    <w:rsid w:val="00B16F88"/>
    <w:rsid w:val="00B179BC"/>
    <w:rsid w:val="00B2069C"/>
    <w:rsid w:val="00B20D64"/>
    <w:rsid w:val="00B21E95"/>
    <w:rsid w:val="00B23836"/>
    <w:rsid w:val="00B25401"/>
    <w:rsid w:val="00B25925"/>
    <w:rsid w:val="00B26BFB"/>
    <w:rsid w:val="00B26EBB"/>
    <w:rsid w:val="00B277A7"/>
    <w:rsid w:val="00B31330"/>
    <w:rsid w:val="00B3206F"/>
    <w:rsid w:val="00B3272E"/>
    <w:rsid w:val="00B3376A"/>
    <w:rsid w:val="00B33896"/>
    <w:rsid w:val="00B35D4D"/>
    <w:rsid w:val="00B36C52"/>
    <w:rsid w:val="00B4102C"/>
    <w:rsid w:val="00B4184A"/>
    <w:rsid w:val="00B42904"/>
    <w:rsid w:val="00B4322D"/>
    <w:rsid w:val="00B432D1"/>
    <w:rsid w:val="00B44C54"/>
    <w:rsid w:val="00B526F4"/>
    <w:rsid w:val="00B54353"/>
    <w:rsid w:val="00B641A7"/>
    <w:rsid w:val="00B657C5"/>
    <w:rsid w:val="00B65DDB"/>
    <w:rsid w:val="00B65F16"/>
    <w:rsid w:val="00B70959"/>
    <w:rsid w:val="00B71F11"/>
    <w:rsid w:val="00B72833"/>
    <w:rsid w:val="00B72B06"/>
    <w:rsid w:val="00B74123"/>
    <w:rsid w:val="00B76FB4"/>
    <w:rsid w:val="00B80F60"/>
    <w:rsid w:val="00B81A53"/>
    <w:rsid w:val="00B87067"/>
    <w:rsid w:val="00B87BF3"/>
    <w:rsid w:val="00B901D4"/>
    <w:rsid w:val="00B91E4A"/>
    <w:rsid w:val="00B922E5"/>
    <w:rsid w:val="00B96738"/>
    <w:rsid w:val="00B96AD9"/>
    <w:rsid w:val="00B97FF6"/>
    <w:rsid w:val="00BA005A"/>
    <w:rsid w:val="00BA071F"/>
    <w:rsid w:val="00BA1059"/>
    <w:rsid w:val="00BA22C8"/>
    <w:rsid w:val="00BA35DC"/>
    <w:rsid w:val="00BA3DEB"/>
    <w:rsid w:val="00BA4BCC"/>
    <w:rsid w:val="00BA6D7E"/>
    <w:rsid w:val="00BB0025"/>
    <w:rsid w:val="00BB4296"/>
    <w:rsid w:val="00BB4409"/>
    <w:rsid w:val="00BC0D20"/>
    <w:rsid w:val="00BC1704"/>
    <w:rsid w:val="00BC19C7"/>
    <w:rsid w:val="00BC1E47"/>
    <w:rsid w:val="00BC2477"/>
    <w:rsid w:val="00BC4A97"/>
    <w:rsid w:val="00BC5967"/>
    <w:rsid w:val="00BD1935"/>
    <w:rsid w:val="00BD196B"/>
    <w:rsid w:val="00BD288E"/>
    <w:rsid w:val="00BD4572"/>
    <w:rsid w:val="00BD46A3"/>
    <w:rsid w:val="00BE1261"/>
    <w:rsid w:val="00BE32F7"/>
    <w:rsid w:val="00BE383B"/>
    <w:rsid w:val="00BE3B2D"/>
    <w:rsid w:val="00BE44BA"/>
    <w:rsid w:val="00BE5272"/>
    <w:rsid w:val="00BE569D"/>
    <w:rsid w:val="00BE5884"/>
    <w:rsid w:val="00BE6F4D"/>
    <w:rsid w:val="00BF1B27"/>
    <w:rsid w:val="00BF1F22"/>
    <w:rsid w:val="00BF4A1A"/>
    <w:rsid w:val="00C0113D"/>
    <w:rsid w:val="00C02DC5"/>
    <w:rsid w:val="00C048A9"/>
    <w:rsid w:val="00C05F6D"/>
    <w:rsid w:val="00C07496"/>
    <w:rsid w:val="00C107D4"/>
    <w:rsid w:val="00C110FF"/>
    <w:rsid w:val="00C12A69"/>
    <w:rsid w:val="00C1554F"/>
    <w:rsid w:val="00C201B3"/>
    <w:rsid w:val="00C202F2"/>
    <w:rsid w:val="00C2552D"/>
    <w:rsid w:val="00C256AF"/>
    <w:rsid w:val="00C25F60"/>
    <w:rsid w:val="00C27D27"/>
    <w:rsid w:val="00C305BF"/>
    <w:rsid w:val="00C32BD3"/>
    <w:rsid w:val="00C331C3"/>
    <w:rsid w:val="00C33DAF"/>
    <w:rsid w:val="00C34432"/>
    <w:rsid w:val="00C3513F"/>
    <w:rsid w:val="00C4041B"/>
    <w:rsid w:val="00C418C8"/>
    <w:rsid w:val="00C4316C"/>
    <w:rsid w:val="00C43E57"/>
    <w:rsid w:val="00C457D3"/>
    <w:rsid w:val="00C45F1E"/>
    <w:rsid w:val="00C47D6A"/>
    <w:rsid w:val="00C50DBD"/>
    <w:rsid w:val="00C519C2"/>
    <w:rsid w:val="00C52881"/>
    <w:rsid w:val="00C52BFB"/>
    <w:rsid w:val="00C53655"/>
    <w:rsid w:val="00C53C2D"/>
    <w:rsid w:val="00C54E37"/>
    <w:rsid w:val="00C56852"/>
    <w:rsid w:val="00C57C28"/>
    <w:rsid w:val="00C600C9"/>
    <w:rsid w:val="00C62895"/>
    <w:rsid w:val="00C64DE5"/>
    <w:rsid w:val="00C662B8"/>
    <w:rsid w:val="00C671D6"/>
    <w:rsid w:val="00C67B44"/>
    <w:rsid w:val="00C71DB8"/>
    <w:rsid w:val="00C725EF"/>
    <w:rsid w:val="00C72F92"/>
    <w:rsid w:val="00C74AD8"/>
    <w:rsid w:val="00C75ADE"/>
    <w:rsid w:val="00C802F7"/>
    <w:rsid w:val="00C813DC"/>
    <w:rsid w:val="00C81498"/>
    <w:rsid w:val="00C814B1"/>
    <w:rsid w:val="00C82A36"/>
    <w:rsid w:val="00C8639D"/>
    <w:rsid w:val="00C87398"/>
    <w:rsid w:val="00C91176"/>
    <w:rsid w:val="00C93276"/>
    <w:rsid w:val="00C97A0E"/>
    <w:rsid w:val="00CA0938"/>
    <w:rsid w:val="00CA1BDC"/>
    <w:rsid w:val="00CA1F1E"/>
    <w:rsid w:val="00CB0725"/>
    <w:rsid w:val="00CB17C2"/>
    <w:rsid w:val="00CB21E2"/>
    <w:rsid w:val="00CB229A"/>
    <w:rsid w:val="00CB2578"/>
    <w:rsid w:val="00CB26DC"/>
    <w:rsid w:val="00CB40C4"/>
    <w:rsid w:val="00CB5BD3"/>
    <w:rsid w:val="00CB6431"/>
    <w:rsid w:val="00CC0218"/>
    <w:rsid w:val="00CC3A97"/>
    <w:rsid w:val="00CC6122"/>
    <w:rsid w:val="00CC718A"/>
    <w:rsid w:val="00CD3B56"/>
    <w:rsid w:val="00CD3FCE"/>
    <w:rsid w:val="00CD3FD2"/>
    <w:rsid w:val="00CD43C2"/>
    <w:rsid w:val="00CE1C18"/>
    <w:rsid w:val="00CE255A"/>
    <w:rsid w:val="00CE3197"/>
    <w:rsid w:val="00CE3CCE"/>
    <w:rsid w:val="00CE5422"/>
    <w:rsid w:val="00CE5515"/>
    <w:rsid w:val="00CE6543"/>
    <w:rsid w:val="00CE7532"/>
    <w:rsid w:val="00CF21C0"/>
    <w:rsid w:val="00CF38C5"/>
    <w:rsid w:val="00CF3F5B"/>
    <w:rsid w:val="00CF4E0E"/>
    <w:rsid w:val="00CF5343"/>
    <w:rsid w:val="00CF703E"/>
    <w:rsid w:val="00D021E7"/>
    <w:rsid w:val="00D02449"/>
    <w:rsid w:val="00D02841"/>
    <w:rsid w:val="00D0328B"/>
    <w:rsid w:val="00D05F25"/>
    <w:rsid w:val="00D06DC4"/>
    <w:rsid w:val="00D1040A"/>
    <w:rsid w:val="00D104F3"/>
    <w:rsid w:val="00D10E2B"/>
    <w:rsid w:val="00D10F56"/>
    <w:rsid w:val="00D1119D"/>
    <w:rsid w:val="00D1130B"/>
    <w:rsid w:val="00D12BB2"/>
    <w:rsid w:val="00D14DB9"/>
    <w:rsid w:val="00D15541"/>
    <w:rsid w:val="00D1658A"/>
    <w:rsid w:val="00D22CA3"/>
    <w:rsid w:val="00D246B9"/>
    <w:rsid w:val="00D2696F"/>
    <w:rsid w:val="00D311F3"/>
    <w:rsid w:val="00D3587A"/>
    <w:rsid w:val="00D373BF"/>
    <w:rsid w:val="00D41A7D"/>
    <w:rsid w:val="00D41AF6"/>
    <w:rsid w:val="00D4450C"/>
    <w:rsid w:val="00D45019"/>
    <w:rsid w:val="00D452A6"/>
    <w:rsid w:val="00D45EF9"/>
    <w:rsid w:val="00D47048"/>
    <w:rsid w:val="00D50E8D"/>
    <w:rsid w:val="00D526E9"/>
    <w:rsid w:val="00D528CB"/>
    <w:rsid w:val="00D5296B"/>
    <w:rsid w:val="00D53409"/>
    <w:rsid w:val="00D53884"/>
    <w:rsid w:val="00D54315"/>
    <w:rsid w:val="00D549D3"/>
    <w:rsid w:val="00D55EC2"/>
    <w:rsid w:val="00D564DF"/>
    <w:rsid w:val="00D57671"/>
    <w:rsid w:val="00D6087C"/>
    <w:rsid w:val="00D6103D"/>
    <w:rsid w:val="00D62879"/>
    <w:rsid w:val="00D66028"/>
    <w:rsid w:val="00D67F85"/>
    <w:rsid w:val="00D71E59"/>
    <w:rsid w:val="00D72465"/>
    <w:rsid w:val="00D73F8B"/>
    <w:rsid w:val="00D74EAC"/>
    <w:rsid w:val="00D76DDA"/>
    <w:rsid w:val="00D8265D"/>
    <w:rsid w:val="00D83C50"/>
    <w:rsid w:val="00D84C7E"/>
    <w:rsid w:val="00D905A8"/>
    <w:rsid w:val="00D90703"/>
    <w:rsid w:val="00D91222"/>
    <w:rsid w:val="00D9135F"/>
    <w:rsid w:val="00D91C46"/>
    <w:rsid w:val="00D9390F"/>
    <w:rsid w:val="00D9412D"/>
    <w:rsid w:val="00D94934"/>
    <w:rsid w:val="00D96024"/>
    <w:rsid w:val="00DA04EE"/>
    <w:rsid w:val="00DA384B"/>
    <w:rsid w:val="00DA3FA9"/>
    <w:rsid w:val="00DA4A27"/>
    <w:rsid w:val="00DA520C"/>
    <w:rsid w:val="00DA6974"/>
    <w:rsid w:val="00DB11B0"/>
    <w:rsid w:val="00DB6909"/>
    <w:rsid w:val="00DB7BB6"/>
    <w:rsid w:val="00DC1B2B"/>
    <w:rsid w:val="00DC3C24"/>
    <w:rsid w:val="00DC49BE"/>
    <w:rsid w:val="00DD2453"/>
    <w:rsid w:val="00DD3250"/>
    <w:rsid w:val="00DD34C6"/>
    <w:rsid w:val="00DD4674"/>
    <w:rsid w:val="00DD7AE2"/>
    <w:rsid w:val="00DE343C"/>
    <w:rsid w:val="00DE5682"/>
    <w:rsid w:val="00DE59FF"/>
    <w:rsid w:val="00DF08E1"/>
    <w:rsid w:val="00DF6463"/>
    <w:rsid w:val="00E0139C"/>
    <w:rsid w:val="00E04C86"/>
    <w:rsid w:val="00E06413"/>
    <w:rsid w:val="00E06FA7"/>
    <w:rsid w:val="00E10000"/>
    <w:rsid w:val="00E12534"/>
    <w:rsid w:val="00E16060"/>
    <w:rsid w:val="00E21E9F"/>
    <w:rsid w:val="00E22D4B"/>
    <w:rsid w:val="00E249E8"/>
    <w:rsid w:val="00E30A8C"/>
    <w:rsid w:val="00E3182B"/>
    <w:rsid w:val="00E338F5"/>
    <w:rsid w:val="00E33C4F"/>
    <w:rsid w:val="00E41F97"/>
    <w:rsid w:val="00E452EB"/>
    <w:rsid w:val="00E45D48"/>
    <w:rsid w:val="00E52B28"/>
    <w:rsid w:val="00E53C5F"/>
    <w:rsid w:val="00E54EEB"/>
    <w:rsid w:val="00E60827"/>
    <w:rsid w:val="00E6178F"/>
    <w:rsid w:val="00E63C40"/>
    <w:rsid w:val="00E657BE"/>
    <w:rsid w:val="00E65D3A"/>
    <w:rsid w:val="00E66C3C"/>
    <w:rsid w:val="00E6770A"/>
    <w:rsid w:val="00E6788C"/>
    <w:rsid w:val="00E726A9"/>
    <w:rsid w:val="00E73540"/>
    <w:rsid w:val="00E73A59"/>
    <w:rsid w:val="00E83339"/>
    <w:rsid w:val="00E85706"/>
    <w:rsid w:val="00E90118"/>
    <w:rsid w:val="00E90489"/>
    <w:rsid w:val="00E90A72"/>
    <w:rsid w:val="00E90B3B"/>
    <w:rsid w:val="00E91B25"/>
    <w:rsid w:val="00E93FED"/>
    <w:rsid w:val="00E95327"/>
    <w:rsid w:val="00E9674D"/>
    <w:rsid w:val="00EA1BF7"/>
    <w:rsid w:val="00EA3E24"/>
    <w:rsid w:val="00EA4BEA"/>
    <w:rsid w:val="00EA6FD1"/>
    <w:rsid w:val="00EA7B2A"/>
    <w:rsid w:val="00EB0D9C"/>
    <w:rsid w:val="00EB2853"/>
    <w:rsid w:val="00EB5A1A"/>
    <w:rsid w:val="00EC192A"/>
    <w:rsid w:val="00EC364E"/>
    <w:rsid w:val="00EC5A2E"/>
    <w:rsid w:val="00EC5DAA"/>
    <w:rsid w:val="00ED13FD"/>
    <w:rsid w:val="00ED17C9"/>
    <w:rsid w:val="00ED28D8"/>
    <w:rsid w:val="00ED37F5"/>
    <w:rsid w:val="00ED75D2"/>
    <w:rsid w:val="00EE18E8"/>
    <w:rsid w:val="00EE387C"/>
    <w:rsid w:val="00EE38AA"/>
    <w:rsid w:val="00EE7297"/>
    <w:rsid w:val="00EF0F6A"/>
    <w:rsid w:val="00EF25F3"/>
    <w:rsid w:val="00EF3022"/>
    <w:rsid w:val="00EF35A9"/>
    <w:rsid w:val="00EF424F"/>
    <w:rsid w:val="00EF5D55"/>
    <w:rsid w:val="00EF69B9"/>
    <w:rsid w:val="00EF70C7"/>
    <w:rsid w:val="00EF716C"/>
    <w:rsid w:val="00EF7BB7"/>
    <w:rsid w:val="00F0058E"/>
    <w:rsid w:val="00F019A5"/>
    <w:rsid w:val="00F02AFF"/>
    <w:rsid w:val="00F06A11"/>
    <w:rsid w:val="00F07AC2"/>
    <w:rsid w:val="00F11ED3"/>
    <w:rsid w:val="00F12642"/>
    <w:rsid w:val="00F14A67"/>
    <w:rsid w:val="00F14A79"/>
    <w:rsid w:val="00F16D23"/>
    <w:rsid w:val="00F230A9"/>
    <w:rsid w:val="00F25D56"/>
    <w:rsid w:val="00F2779B"/>
    <w:rsid w:val="00F36E0A"/>
    <w:rsid w:val="00F40C30"/>
    <w:rsid w:val="00F417AA"/>
    <w:rsid w:val="00F44301"/>
    <w:rsid w:val="00F46393"/>
    <w:rsid w:val="00F4744F"/>
    <w:rsid w:val="00F52C1E"/>
    <w:rsid w:val="00F53419"/>
    <w:rsid w:val="00F56548"/>
    <w:rsid w:val="00F604EB"/>
    <w:rsid w:val="00F60CAB"/>
    <w:rsid w:val="00F6126D"/>
    <w:rsid w:val="00F6168D"/>
    <w:rsid w:val="00F63069"/>
    <w:rsid w:val="00F630B8"/>
    <w:rsid w:val="00F63439"/>
    <w:rsid w:val="00F63F27"/>
    <w:rsid w:val="00F64026"/>
    <w:rsid w:val="00F66FFB"/>
    <w:rsid w:val="00F67E54"/>
    <w:rsid w:val="00F701F8"/>
    <w:rsid w:val="00F72194"/>
    <w:rsid w:val="00F821B0"/>
    <w:rsid w:val="00F82E28"/>
    <w:rsid w:val="00F8582B"/>
    <w:rsid w:val="00F9445E"/>
    <w:rsid w:val="00F9488C"/>
    <w:rsid w:val="00F95E15"/>
    <w:rsid w:val="00FA1AA9"/>
    <w:rsid w:val="00FA363B"/>
    <w:rsid w:val="00FB0D0E"/>
    <w:rsid w:val="00FB442D"/>
    <w:rsid w:val="00FB47FF"/>
    <w:rsid w:val="00FC16C6"/>
    <w:rsid w:val="00FC1B74"/>
    <w:rsid w:val="00FC2C7F"/>
    <w:rsid w:val="00FC408B"/>
    <w:rsid w:val="00FC4D0E"/>
    <w:rsid w:val="00FC5ECC"/>
    <w:rsid w:val="00FC61BF"/>
    <w:rsid w:val="00FC681A"/>
    <w:rsid w:val="00FC68B5"/>
    <w:rsid w:val="00FD090B"/>
    <w:rsid w:val="00FD4229"/>
    <w:rsid w:val="00FD4CCC"/>
    <w:rsid w:val="00FD5493"/>
    <w:rsid w:val="00FD6388"/>
    <w:rsid w:val="00FE246B"/>
    <w:rsid w:val="00FE3870"/>
    <w:rsid w:val="00FE40CC"/>
    <w:rsid w:val="00FE6601"/>
    <w:rsid w:val="00FF00BE"/>
    <w:rsid w:val="00FF08C4"/>
    <w:rsid w:val="00FF13AB"/>
    <w:rsid w:val="00FF1923"/>
    <w:rsid w:val="00FF2187"/>
    <w:rsid w:val="00FF2599"/>
    <w:rsid w:val="00FF3826"/>
    <w:rsid w:val="00FF49E2"/>
    <w:rsid w:val="00FF5A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6619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verDesc">
    <w:name w:val="CoverDesc"/>
    <w:basedOn w:val="Standaard"/>
    <w:pPr>
      <w:jc w:val="center"/>
    </w:pPr>
    <w:rPr>
      <w:b/>
      <w:sz w:val="36"/>
      <w:szCs w:val="20"/>
    </w:rPr>
  </w:style>
  <w:style w:type="paragraph" w:customStyle="1" w:styleId="CoverMain">
    <w:name w:val="CoverMain"/>
    <w:basedOn w:val="Standaar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Standaard"/>
    <w:pPr>
      <w:jc w:val="right"/>
    </w:pPr>
    <w:rPr>
      <w:szCs w:val="20"/>
      <w:u w:val="single"/>
    </w:rPr>
  </w:style>
  <w:style w:type="paragraph" w:customStyle="1" w:styleId="ParaHeading">
    <w:name w:val="ParaHeading"/>
    <w:basedOn w:val="Standaard"/>
    <w:next w:val="ParaLevel1"/>
    <w:pPr>
      <w:keepNext/>
      <w:spacing w:before="240" w:after="240"/>
    </w:pPr>
    <w:rPr>
      <w:szCs w:val="20"/>
    </w:rPr>
  </w:style>
  <w:style w:type="paragraph" w:customStyle="1" w:styleId="ParaLevel1">
    <w:name w:val="ParaLevel1"/>
    <w:basedOn w:val="Standaard"/>
    <w:pPr>
      <w:numPr>
        <w:numId w:val="23"/>
      </w:numPr>
      <w:suppressAutoHyphens/>
      <w:spacing w:before="240" w:after="240"/>
      <w:jc w:val="both"/>
      <w:outlineLvl w:val="0"/>
    </w:pPr>
    <w:rPr>
      <w:szCs w:val="20"/>
    </w:rPr>
  </w:style>
  <w:style w:type="paragraph" w:customStyle="1" w:styleId="ParaLevel2">
    <w:name w:val="ParaLevel2"/>
    <w:basedOn w:val="Standaard"/>
    <w:pPr>
      <w:numPr>
        <w:ilvl w:val="1"/>
        <w:numId w:val="23"/>
      </w:numPr>
      <w:suppressAutoHyphens/>
      <w:spacing w:before="240" w:after="240"/>
      <w:jc w:val="both"/>
      <w:outlineLvl w:val="1"/>
    </w:pPr>
    <w:rPr>
      <w:szCs w:val="20"/>
    </w:rPr>
  </w:style>
  <w:style w:type="paragraph" w:customStyle="1" w:styleId="ParaLevel3">
    <w:name w:val="ParaLevel3"/>
    <w:basedOn w:val="Standaard"/>
    <w:pPr>
      <w:numPr>
        <w:ilvl w:val="2"/>
        <w:numId w:val="23"/>
      </w:numPr>
      <w:suppressAutoHyphens/>
      <w:spacing w:before="240" w:after="240"/>
      <w:jc w:val="both"/>
      <w:outlineLvl w:val="2"/>
    </w:pPr>
    <w:rPr>
      <w:szCs w:val="20"/>
    </w:rPr>
  </w:style>
  <w:style w:type="paragraph" w:customStyle="1" w:styleId="ParaLevel4">
    <w:name w:val="ParaLevel4"/>
    <w:basedOn w:val="Standaard"/>
    <w:pPr>
      <w:numPr>
        <w:ilvl w:val="3"/>
        <w:numId w:val="23"/>
      </w:numPr>
      <w:suppressAutoHyphens/>
      <w:spacing w:before="240" w:after="240"/>
      <w:jc w:val="both"/>
      <w:outlineLvl w:val="3"/>
    </w:pPr>
    <w:rPr>
      <w:szCs w:val="20"/>
    </w:rPr>
  </w:style>
  <w:style w:type="paragraph" w:customStyle="1" w:styleId="ParaLevel5">
    <w:name w:val="ParaLevel5"/>
    <w:basedOn w:val="Standaard"/>
    <w:pPr>
      <w:numPr>
        <w:ilvl w:val="4"/>
        <w:numId w:val="23"/>
      </w:numPr>
      <w:suppressAutoHyphens/>
      <w:spacing w:before="240" w:after="240"/>
      <w:jc w:val="both"/>
      <w:outlineLvl w:val="4"/>
    </w:pPr>
    <w:rPr>
      <w:szCs w:val="20"/>
    </w:rPr>
  </w:style>
  <w:style w:type="paragraph" w:customStyle="1" w:styleId="ParaLevel6">
    <w:name w:val="ParaLevel6"/>
    <w:basedOn w:val="Standaard"/>
    <w:pPr>
      <w:numPr>
        <w:ilvl w:val="5"/>
        <w:numId w:val="23"/>
      </w:numPr>
      <w:suppressAutoHyphens/>
      <w:spacing w:before="240" w:after="240"/>
      <w:jc w:val="both"/>
      <w:outlineLvl w:val="5"/>
    </w:pPr>
    <w:rPr>
      <w:szCs w:val="20"/>
    </w:rPr>
  </w:style>
  <w:style w:type="paragraph" w:customStyle="1" w:styleId="ParaLevel7">
    <w:name w:val="ParaLevel7"/>
    <w:basedOn w:val="Standaard"/>
    <w:pPr>
      <w:numPr>
        <w:ilvl w:val="6"/>
        <w:numId w:val="23"/>
      </w:numPr>
      <w:suppressAutoHyphens/>
      <w:spacing w:before="240" w:after="240"/>
      <w:jc w:val="both"/>
      <w:outlineLvl w:val="6"/>
    </w:pPr>
    <w:rPr>
      <w:szCs w:val="20"/>
    </w:rPr>
  </w:style>
  <w:style w:type="paragraph" w:customStyle="1" w:styleId="ParaLevel8">
    <w:name w:val="ParaLevel8"/>
    <w:basedOn w:val="Standaard"/>
    <w:pPr>
      <w:numPr>
        <w:ilvl w:val="7"/>
        <w:numId w:val="23"/>
      </w:numPr>
      <w:suppressAutoHyphens/>
      <w:spacing w:before="240" w:after="240"/>
      <w:jc w:val="both"/>
      <w:outlineLvl w:val="7"/>
    </w:pPr>
    <w:rPr>
      <w:szCs w:val="20"/>
    </w:rPr>
  </w:style>
  <w:style w:type="paragraph" w:customStyle="1" w:styleId="ParaLevel9">
    <w:name w:val="ParaLevel9"/>
    <w:basedOn w:val="Standaard"/>
    <w:pPr>
      <w:numPr>
        <w:ilvl w:val="8"/>
        <w:numId w:val="23"/>
      </w:numPr>
      <w:suppressAutoHyphens/>
      <w:spacing w:before="240" w:after="240"/>
      <w:jc w:val="both"/>
      <w:outlineLvl w:val="8"/>
    </w:pPr>
    <w:rPr>
      <w:szCs w:val="20"/>
    </w:rPr>
  </w:style>
  <w:style w:type="paragraph" w:customStyle="1" w:styleId="ParaNoNumber">
    <w:name w:val="ParaNoNumber"/>
    <w:basedOn w:val="Standaard"/>
    <w:next w:val="ParaLevel1"/>
    <w:pPr>
      <w:spacing w:before="240" w:after="240"/>
      <w:jc w:val="both"/>
    </w:pPr>
    <w:rPr>
      <w:szCs w:val="20"/>
    </w:rPr>
  </w:style>
  <w:style w:type="paragraph" w:styleId="Citaat">
    <w:name w:val="Quote"/>
    <w:basedOn w:val="Standaard"/>
    <w:next w:val="ParaLevel1"/>
    <w:qFormat/>
    <w:pPr>
      <w:spacing w:after="240"/>
      <w:ind w:left="1440" w:right="1440"/>
      <w:jc w:val="both"/>
    </w:pPr>
    <w:rPr>
      <w:szCs w:val="20"/>
    </w:rPr>
  </w:style>
  <w:style w:type="paragraph" w:styleId="Koptekst">
    <w:name w:val="header"/>
    <w:basedOn w:val="Standaard"/>
    <w:pPr>
      <w:tabs>
        <w:tab w:val="center" w:pos="4153"/>
        <w:tab w:val="right" w:pos="8306"/>
      </w:tabs>
    </w:pPr>
    <w:rPr>
      <w:rFonts w:ascii="Univers (W1)" w:hAnsi="Univers (W1)"/>
      <w:szCs w:val="20"/>
    </w:rPr>
  </w:style>
  <w:style w:type="paragraph" w:styleId="Voettekst">
    <w:name w:val="footer"/>
    <w:basedOn w:val="Standaard"/>
    <w:pPr>
      <w:tabs>
        <w:tab w:val="center" w:pos="4153"/>
        <w:tab w:val="right" w:pos="8306"/>
      </w:tabs>
    </w:pPr>
    <w:rPr>
      <w:rFonts w:ascii="Univers (W1)" w:hAnsi="Univers (W1)"/>
      <w:szCs w:val="20"/>
    </w:rPr>
  </w:style>
  <w:style w:type="paragraph" w:customStyle="1" w:styleId="Heading">
    <w:name w:val="Heading"/>
    <w:basedOn w:val="Standaard"/>
    <w:next w:val="Kop1"/>
    <w:pPr>
      <w:keepNext/>
      <w:spacing w:before="240" w:after="240" w:line="480" w:lineRule="auto"/>
    </w:pPr>
    <w:rPr>
      <w:szCs w:val="20"/>
    </w:rPr>
  </w:style>
  <w:style w:type="paragraph" w:styleId="Titel">
    <w:name w:val="Title"/>
    <w:basedOn w:val="Standaard"/>
    <w:qFormat/>
    <w:pPr>
      <w:pBdr>
        <w:top w:val="single" w:sz="6" w:space="1" w:color="auto"/>
        <w:left w:val="single" w:sz="6" w:space="1" w:color="auto"/>
        <w:bottom w:val="single" w:sz="6" w:space="1" w:color="auto"/>
        <w:right w:val="single" w:sz="6" w:space="1" w:color="auto"/>
      </w:pBdr>
      <w:jc w:val="center"/>
    </w:pPr>
    <w:rPr>
      <w:b/>
      <w:sz w:val="20"/>
    </w:rPr>
  </w:style>
  <w:style w:type="character" w:styleId="Hyperlink">
    <w:name w:val="Hyperlink"/>
    <w:rsid w:val="00D452A6"/>
    <w:rPr>
      <w:color w:val="0000FF"/>
      <w:u w:val="single"/>
    </w:rPr>
  </w:style>
  <w:style w:type="paragraph" w:customStyle="1" w:styleId="eMailBlock">
    <w:name w:val="eMailBlock"/>
    <w:basedOn w:val="Titel"/>
    <w:rPr>
      <w:sz w:val="26"/>
    </w:rPr>
  </w:style>
  <w:style w:type="character" w:styleId="GevolgdeHyperlink">
    <w:name w:val="FollowedHyperlink"/>
    <w:rsid w:val="004B514A"/>
    <w:rPr>
      <w:color w:val="800080"/>
      <w:u w:val="single"/>
    </w:rPr>
  </w:style>
  <w:style w:type="paragraph" w:styleId="Normaalweb">
    <w:name w:val="Normal (Web)"/>
    <w:basedOn w:val="Standaard"/>
    <w:uiPriority w:val="99"/>
    <w:unhideWhenUsed/>
    <w:rsid w:val="009B60DD"/>
    <w:pPr>
      <w:spacing w:before="100" w:beforeAutospacing="1" w:after="100" w:afterAutospacing="1"/>
    </w:pPr>
    <w:rPr>
      <w:rFonts w:ascii="Times" w:hAnsi="Times"/>
      <w:sz w:val="20"/>
      <w:szCs w:val="20"/>
    </w:rPr>
  </w:style>
  <w:style w:type="paragraph" w:styleId="Ballontekst">
    <w:name w:val="Balloon Text"/>
    <w:basedOn w:val="Standaard"/>
    <w:link w:val="BallontekstChar"/>
    <w:rsid w:val="00D9390F"/>
    <w:rPr>
      <w:rFonts w:ascii="Lucida Grande" w:hAnsi="Lucida Grande" w:cs="Lucida Grande"/>
      <w:sz w:val="18"/>
      <w:szCs w:val="18"/>
    </w:rPr>
  </w:style>
  <w:style w:type="character" w:customStyle="1" w:styleId="BallontekstChar">
    <w:name w:val="Ballontekst Char"/>
    <w:basedOn w:val="Standaardalinea-lettertype"/>
    <w:link w:val="Ballontekst"/>
    <w:rsid w:val="00D9390F"/>
    <w:rPr>
      <w:rFonts w:ascii="Lucida Grande" w:hAnsi="Lucida Grande" w:cs="Lucida Grande"/>
      <w:sz w:val="18"/>
      <w:szCs w:val="18"/>
    </w:rPr>
  </w:style>
  <w:style w:type="paragraph" w:styleId="Lijstalinea">
    <w:name w:val="List Paragraph"/>
    <w:basedOn w:val="Standaard"/>
    <w:uiPriority w:val="34"/>
    <w:qFormat/>
    <w:rsid w:val="00263D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verDesc">
    <w:name w:val="CoverDesc"/>
    <w:basedOn w:val="Standaard"/>
    <w:pPr>
      <w:jc w:val="center"/>
    </w:pPr>
    <w:rPr>
      <w:b/>
      <w:sz w:val="36"/>
      <w:szCs w:val="20"/>
    </w:rPr>
  </w:style>
  <w:style w:type="paragraph" w:customStyle="1" w:styleId="CoverMain">
    <w:name w:val="CoverMain"/>
    <w:basedOn w:val="Standaar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Standaard"/>
    <w:pPr>
      <w:jc w:val="right"/>
    </w:pPr>
    <w:rPr>
      <w:szCs w:val="20"/>
      <w:u w:val="single"/>
    </w:rPr>
  </w:style>
  <w:style w:type="paragraph" w:customStyle="1" w:styleId="ParaHeading">
    <w:name w:val="ParaHeading"/>
    <w:basedOn w:val="Standaard"/>
    <w:next w:val="ParaLevel1"/>
    <w:pPr>
      <w:keepNext/>
      <w:spacing w:before="240" w:after="240"/>
    </w:pPr>
    <w:rPr>
      <w:szCs w:val="20"/>
    </w:rPr>
  </w:style>
  <w:style w:type="paragraph" w:customStyle="1" w:styleId="ParaLevel1">
    <w:name w:val="ParaLevel1"/>
    <w:basedOn w:val="Standaard"/>
    <w:pPr>
      <w:numPr>
        <w:numId w:val="23"/>
      </w:numPr>
      <w:suppressAutoHyphens/>
      <w:spacing w:before="240" w:after="240"/>
      <w:jc w:val="both"/>
      <w:outlineLvl w:val="0"/>
    </w:pPr>
    <w:rPr>
      <w:szCs w:val="20"/>
    </w:rPr>
  </w:style>
  <w:style w:type="paragraph" w:customStyle="1" w:styleId="ParaLevel2">
    <w:name w:val="ParaLevel2"/>
    <w:basedOn w:val="Standaard"/>
    <w:pPr>
      <w:numPr>
        <w:ilvl w:val="1"/>
        <w:numId w:val="23"/>
      </w:numPr>
      <w:suppressAutoHyphens/>
      <w:spacing w:before="240" w:after="240"/>
      <w:jc w:val="both"/>
      <w:outlineLvl w:val="1"/>
    </w:pPr>
    <w:rPr>
      <w:szCs w:val="20"/>
    </w:rPr>
  </w:style>
  <w:style w:type="paragraph" w:customStyle="1" w:styleId="ParaLevel3">
    <w:name w:val="ParaLevel3"/>
    <w:basedOn w:val="Standaard"/>
    <w:pPr>
      <w:numPr>
        <w:ilvl w:val="2"/>
        <w:numId w:val="23"/>
      </w:numPr>
      <w:suppressAutoHyphens/>
      <w:spacing w:before="240" w:after="240"/>
      <w:jc w:val="both"/>
      <w:outlineLvl w:val="2"/>
    </w:pPr>
    <w:rPr>
      <w:szCs w:val="20"/>
    </w:rPr>
  </w:style>
  <w:style w:type="paragraph" w:customStyle="1" w:styleId="ParaLevel4">
    <w:name w:val="ParaLevel4"/>
    <w:basedOn w:val="Standaard"/>
    <w:pPr>
      <w:numPr>
        <w:ilvl w:val="3"/>
        <w:numId w:val="23"/>
      </w:numPr>
      <w:suppressAutoHyphens/>
      <w:spacing w:before="240" w:after="240"/>
      <w:jc w:val="both"/>
      <w:outlineLvl w:val="3"/>
    </w:pPr>
    <w:rPr>
      <w:szCs w:val="20"/>
    </w:rPr>
  </w:style>
  <w:style w:type="paragraph" w:customStyle="1" w:styleId="ParaLevel5">
    <w:name w:val="ParaLevel5"/>
    <w:basedOn w:val="Standaard"/>
    <w:pPr>
      <w:numPr>
        <w:ilvl w:val="4"/>
        <w:numId w:val="23"/>
      </w:numPr>
      <w:suppressAutoHyphens/>
      <w:spacing w:before="240" w:after="240"/>
      <w:jc w:val="both"/>
      <w:outlineLvl w:val="4"/>
    </w:pPr>
    <w:rPr>
      <w:szCs w:val="20"/>
    </w:rPr>
  </w:style>
  <w:style w:type="paragraph" w:customStyle="1" w:styleId="ParaLevel6">
    <w:name w:val="ParaLevel6"/>
    <w:basedOn w:val="Standaard"/>
    <w:pPr>
      <w:numPr>
        <w:ilvl w:val="5"/>
        <w:numId w:val="23"/>
      </w:numPr>
      <w:suppressAutoHyphens/>
      <w:spacing w:before="240" w:after="240"/>
      <w:jc w:val="both"/>
      <w:outlineLvl w:val="5"/>
    </w:pPr>
    <w:rPr>
      <w:szCs w:val="20"/>
    </w:rPr>
  </w:style>
  <w:style w:type="paragraph" w:customStyle="1" w:styleId="ParaLevel7">
    <w:name w:val="ParaLevel7"/>
    <w:basedOn w:val="Standaard"/>
    <w:pPr>
      <w:numPr>
        <w:ilvl w:val="6"/>
        <w:numId w:val="23"/>
      </w:numPr>
      <w:suppressAutoHyphens/>
      <w:spacing w:before="240" w:after="240"/>
      <w:jc w:val="both"/>
      <w:outlineLvl w:val="6"/>
    </w:pPr>
    <w:rPr>
      <w:szCs w:val="20"/>
    </w:rPr>
  </w:style>
  <w:style w:type="paragraph" w:customStyle="1" w:styleId="ParaLevel8">
    <w:name w:val="ParaLevel8"/>
    <w:basedOn w:val="Standaard"/>
    <w:pPr>
      <w:numPr>
        <w:ilvl w:val="7"/>
        <w:numId w:val="23"/>
      </w:numPr>
      <w:suppressAutoHyphens/>
      <w:spacing w:before="240" w:after="240"/>
      <w:jc w:val="both"/>
      <w:outlineLvl w:val="7"/>
    </w:pPr>
    <w:rPr>
      <w:szCs w:val="20"/>
    </w:rPr>
  </w:style>
  <w:style w:type="paragraph" w:customStyle="1" w:styleId="ParaLevel9">
    <w:name w:val="ParaLevel9"/>
    <w:basedOn w:val="Standaard"/>
    <w:pPr>
      <w:numPr>
        <w:ilvl w:val="8"/>
        <w:numId w:val="23"/>
      </w:numPr>
      <w:suppressAutoHyphens/>
      <w:spacing w:before="240" w:after="240"/>
      <w:jc w:val="both"/>
      <w:outlineLvl w:val="8"/>
    </w:pPr>
    <w:rPr>
      <w:szCs w:val="20"/>
    </w:rPr>
  </w:style>
  <w:style w:type="paragraph" w:customStyle="1" w:styleId="ParaNoNumber">
    <w:name w:val="ParaNoNumber"/>
    <w:basedOn w:val="Standaard"/>
    <w:next w:val="ParaLevel1"/>
    <w:pPr>
      <w:spacing w:before="240" w:after="240"/>
      <w:jc w:val="both"/>
    </w:pPr>
    <w:rPr>
      <w:szCs w:val="20"/>
    </w:rPr>
  </w:style>
  <w:style w:type="paragraph" w:styleId="Citaat">
    <w:name w:val="Quote"/>
    <w:basedOn w:val="Standaard"/>
    <w:next w:val="ParaLevel1"/>
    <w:qFormat/>
    <w:pPr>
      <w:spacing w:after="240"/>
      <w:ind w:left="1440" w:right="1440"/>
      <w:jc w:val="both"/>
    </w:pPr>
    <w:rPr>
      <w:szCs w:val="20"/>
    </w:rPr>
  </w:style>
  <w:style w:type="paragraph" w:styleId="Koptekst">
    <w:name w:val="header"/>
    <w:basedOn w:val="Standaard"/>
    <w:pPr>
      <w:tabs>
        <w:tab w:val="center" w:pos="4153"/>
        <w:tab w:val="right" w:pos="8306"/>
      </w:tabs>
    </w:pPr>
    <w:rPr>
      <w:rFonts w:ascii="Univers (W1)" w:hAnsi="Univers (W1)"/>
      <w:szCs w:val="20"/>
    </w:rPr>
  </w:style>
  <w:style w:type="paragraph" w:styleId="Voettekst">
    <w:name w:val="footer"/>
    <w:basedOn w:val="Standaard"/>
    <w:pPr>
      <w:tabs>
        <w:tab w:val="center" w:pos="4153"/>
        <w:tab w:val="right" w:pos="8306"/>
      </w:tabs>
    </w:pPr>
    <w:rPr>
      <w:rFonts w:ascii="Univers (W1)" w:hAnsi="Univers (W1)"/>
      <w:szCs w:val="20"/>
    </w:rPr>
  </w:style>
  <w:style w:type="paragraph" w:customStyle="1" w:styleId="Heading">
    <w:name w:val="Heading"/>
    <w:basedOn w:val="Standaard"/>
    <w:next w:val="Kop1"/>
    <w:pPr>
      <w:keepNext/>
      <w:spacing w:before="240" w:after="240" w:line="480" w:lineRule="auto"/>
    </w:pPr>
    <w:rPr>
      <w:szCs w:val="20"/>
    </w:rPr>
  </w:style>
  <w:style w:type="paragraph" w:styleId="Titel">
    <w:name w:val="Title"/>
    <w:basedOn w:val="Standaard"/>
    <w:qFormat/>
    <w:pPr>
      <w:pBdr>
        <w:top w:val="single" w:sz="6" w:space="1" w:color="auto"/>
        <w:left w:val="single" w:sz="6" w:space="1" w:color="auto"/>
        <w:bottom w:val="single" w:sz="6" w:space="1" w:color="auto"/>
        <w:right w:val="single" w:sz="6" w:space="1" w:color="auto"/>
      </w:pBdr>
      <w:jc w:val="center"/>
    </w:pPr>
    <w:rPr>
      <w:b/>
      <w:sz w:val="20"/>
    </w:rPr>
  </w:style>
  <w:style w:type="character" w:styleId="Hyperlink">
    <w:name w:val="Hyperlink"/>
    <w:rsid w:val="00D452A6"/>
    <w:rPr>
      <w:color w:val="0000FF"/>
      <w:u w:val="single"/>
    </w:rPr>
  </w:style>
  <w:style w:type="paragraph" w:customStyle="1" w:styleId="eMailBlock">
    <w:name w:val="eMailBlock"/>
    <w:basedOn w:val="Titel"/>
    <w:rPr>
      <w:sz w:val="26"/>
    </w:rPr>
  </w:style>
  <w:style w:type="character" w:styleId="GevolgdeHyperlink">
    <w:name w:val="FollowedHyperlink"/>
    <w:rsid w:val="004B514A"/>
    <w:rPr>
      <w:color w:val="800080"/>
      <w:u w:val="single"/>
    </w:rPr>
  </w:style>
  <w:style w:type="paragraph" w:styleId="Normaalweb">
    <w:name w:val="Normal (Web)"/>
    <w:basedOn w:val="Standaard"/>
    <w:uiPriority w:val="99"/>
    <w:unhideWhenUsed/>
    <w:rsid w:val="009B60DD"/>
    <w:pPr>
      <w:spacing w:before="100" w:beforeAutospacing="1" w:after="100" w:afterAutospacing="1"/>
    </w:pPr>
    <w:rPr>
      <w:rFonts w:ascii="Times" w:hAnsi="Times"/>
      <w:sz w:val="20"/>
      <w:szCs w:val="20"/>
    </w:rPr>
  </w:style>
  <w:style w:type="paragraph" w:styleId="Ballontekst">
    <w:name w:val="Balloon Text"/>
    <w:basedOn w:val="Standaard"/>
    <w:link w:val="BallontekstChar"/>
    <w:rsid w:val="00D9390F"/>
    <w:rPr>
      <w:rFonts w:ascii="Lucida Grande" w:hAnsi="Lucida Grande" w:cs="Lucida Grande"/>
      <w:sz w:val="18"/>
      <w:szCs w:val="18"/>
    </w:rPr>
  </w:style>
  <w:style w:type="character" w:customStyle="1" w:styleId="BallontekstChar">
    <w:name w:val="Ballontekst Char"/>
    <w:basedOn w:val="Standaardalinea-lettertype"/>
    <w:link w:val="Ballontekst"/>
    <w:rsid w:val="00D9390F"/>
    <w:rPr>
      <w:rFonts w:ascii="Lucida Grande" w:hAnsi="Lucida Grande" w:cs="Lucida Grande"/>
      <w:sz w:val="18"/>
      <w:szCs w:val="18"/>
    </w:rPr>
  </w:style>
  <w:style w:type="paragraph" w:styleId="Lijstalinea">
    <w:name w:val="List Paragraph"/>
    <w:basedOn w:val="Standaard"/>
    <w:uiPriority w:val="34"/>
    <w:qFormat/>
    <w:rsid w:val="00263D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08229">
      <w:bodyDiv w:val="1"/>
      <w:marLeft w:val="0"/>
      <w:marRight w:val="0"/>
      <w:marTop w:val="0"/>
      <w:marBottom w:val="0"/>
      <w:divBdr>
        <w:top w:val="none" w:sz="0" w:space="0" w:color="auto"/>
        <w:left w:val="none" w:sz="0" w:space="0" w:color="auto"/>
        <w:bottom w:val="none" w:sz="0" w:space="0" w:color="auto"/>
        <w:right w:val="none" w:sz="0" w:space="0" w:color="auto"/>
      </w:divBdr>
      <w:divsChild>
        <w:div w:id="1600064093">
          <w:marLeft w:val="0"/>
          <w:marRight w:val="0"/>
          <w:marTop w:val="0"/>
          <w:marBottom w:val="0"/>
          <w:divBdr>
            <w:top w:val="none" w:sz="0" w:space="0" w:color="auto"/>
            <w:left w:val="none" w:sz="0" w:space="0" w:color="auto"/>
            <w:bottom w:val="none" w:sz="0" w:space="0" w:color="auto"/>
            <w:right w:val="none" w:sz="0" w:space="0" w:color="auto"/>
          </w:divBdr>
          <w:divsChild>
            <w:div w:id="580529003">
              <w:marLeft w:val="0"/>
              <w:marRight w:val="0"/>
              <w:marTop w:val="0"/>
              <w:marBottom w:val="0"/>
              <w:divBdr>
                <w:top w:val="none" w:sz="0" w:space="0" w:color="auto"/>
                <w:left w:val="none" w:sz="0" w:space="0" w:color="auto"/>
                <w:bottom w:val="none" w:sz="0" w:space="0" w:color="auto"/>
                <w:right w:val="none" w:sz="0" w:space="0" w:color="auto"/>
              </w:divBdr>
              <w:divsChild>
                <w:div w:id="832525716">
                  <w:marLeft w:val="0"/>
                  <w:marRight w:val="0"/>
                  <w:marTop w:val="0"/>
                  <w:marBottom w:val="0"/>
                  <w:divBdr>
                    <w:top w:val="none" w:sz="0" w:space="0" w:color="auto"/>
                    <w:left w:val="none" w:sz="0" w:space="0" w:color="auto"/>
                    <w:bottom w:val="none" w:sz="0" w:space="0" w:color="auto"/>
                    <w:right w:val="none" w:sz="0" w:space="0" w:color="auto"/>
                  </w:divBdr>
                </w:div>
              </w:divsChild>
            </w:div>
            <w:div w:id="1408843816">
              <w:marLeft w:val="0"/>
              <w:marRight w:val="0"/>
              <w:marTop w:val="0"/>
              <w:marBottom w:val="0"/>
              <w:divBdr>
                <w:top w:val="none" w:sz="0" w:space="0" w:color="auto"/>
                <w:left w:val="none" w:sz="0" w:space="0" w:color="auto"/>
                <w:bottom w:val="none" w:sz="0" w:space="0" w:color="auto"/>
                <w:right w:val="none" w:sz="0" w:space="0" w:color="auto"/>
              </w:divBdr>
              <w:divsChild>
                <w:div w:id="9473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21330">
          <w:marLeft w:val="0"/>
          <w:marRight w:val="0"/>
          <w:marTop w:val="0"/>
          <w:marBottom w:val="0"/>
          <w:divBdr>
            <w:top w:val="none" w:sz="0" w:space="0" w:color="auto"/>
            <w:left w:val="none" w:sz="0" w:space="0" w:color="auto"/>
            <w:bottom w:val="none" w:sz="0" w:space="0" w:color="auto"/>
            <w:right w:val="none" w:sz="0" w:space="0" w:color="auto"/>
          </w:divBdr>
          <w:divsChild>
            <w:div w:id="691883420">
              <w:marLeft w:val="0"/>
              <w:marRight w:val="0"/>
              <w:marTop w:val="0"/>
              <w:marBottom w:val="0"/>
              <w:divBdr>
                <w:top w:val="none" w:sz="0" w:space="0" w:color="auto"/>
                <w:left w:val="none" w:sz="0" w:space="0" w:color="auto"/>
                <w:bottom w:val="none" w:sz="0" w:space="0" w:color="auto"/>
                <w:right w:val="none" w:sz="0" w:space="0" w:color="auto"/>
              </w:divBdr>
              <w:divsChild>
                <w:div w:id="4543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43963">
      <w:bodyDiv w:val="1"/>
      <w:marLeft w:val="0"/>
      <w:marRight w:val="0"/>
      <w:marTop w:val="0"/>
      <w:marBottom w:val="0"/>
      <w:divBdr>
        <w:top w:val="none" w:sz="0" w:space="0" w:color="auto"/>
        <w:left w:val="none" w:sz="0" w:space="0" w:color="auto"/>
        <w:bottom w:val="none" w:sz="0" w:space="0" w:color="auto"/>
        <w:right w:val="none" w:sz="0" w:space="0" w:color="auto"/>
      </w:divBdr>
      <w:divsChild>
        <w:div w:id="200020317">
          <w:marLeft w:val="0"/>
          <w:marRight w:val="0"/>
          <w:marTop w:val="0"/>
          <w:marBottom w:val="0"/>
          <w:divBdr>
            <w:top w:val="none" w:sz="0" w:space="0" w:color="auto"/>
            <w:left w:val="none" w:sz="0" w:space="0" w:color="auto"/>
            <w:bottom w:val="none" w:sz="0" w:space="0" w:color="auto"/>
            <w:right w:val="none" w:sz="0" w:space="0" w:color="auto"/>
          </w:divBdr>
          <w:divsChild>
            <w:div w:id="1876382516">
              <w:marLeft w:val="0"/>
              <w:marRight w:val="0"/>
              <w:marTop w:val="0"/>
              <w:marBottom w:val="0"/>
              <w:divBdr>
                <w:top w:val="none" w:sz="0" w:space="0" w:color="auto"/>
                <w:left w:val="none" w:sz="0" w:space="0" w:color="auto"/>
                <w:bottom w:val="none" w:sz="0" w:space="0" w:color="auto"/>
                <w:right w:val="none" w:sz="0" w:space="0" w:color="auto"/>
              </w:divBdr>
              <w:divsChild>
                <w:div w:id="395130953">
                  <w:marLeft w:val="0"/>
                  <w:marRight w:val="0"/>
                  <w:marTop w:val="0"/>
                  <w:marBottom w:val="0"/>
                  <w:divBdr>
                    <w:top w:val="none" w:sz="0" w:space="0" w:color="auto"/>
                    <w:left w:val="none" w:sz="0" w:space="0" w:color="auto"/>
                    <w:bottom w:val="none" w:sz="0" w:space="0" w:color="auto"/>
                    <w:right w:val="none" w:sz="0" w:space="0" w:color="auto"/>
                  </w:divBdr>
                </w:div>
              </w:divsChild>
            </w:div>
            <w:div w:id="950824054">
              <w:marLeft w:val="0"/>
              <w:marRight w:val="0"/>
              <w:marTop w:val="0"/>
              <w:marBottom w:val="0"/>
              <w:divBdr>
                <w:top w:val="none" w:sz="0" w:space="0" w:color="auto"/>
                <w:left w:val="none" w:sz="0" w:space="0" w:color="auto"/>
                <w:bottom w:val="none" w:sz="0" w:space="0" w:color="auto"/>
                <w:right w:val="none" w:sz="0" w:space="0" w:color="auto"/>
              </w:divBdr>
              <w:divsChild>
                <w:div w:id="4486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5634">
          <w:marLeft w:val="0"/>
          <w:marRight w:val="0"/>
          <w:marTop w:val="0"/>
          <w:marBottom w:val="0"/>
          <w:divBdr>
            <w:top w:val="none" w:sz="0" w:space="0" w:color="auto"/>
            <w:left w:val="none" w:sz="0" w:space="0" w:color="auto"/>
            <w:bottom w:val="none" w:sz="0" w:space="0" w:color="auto"/>
            <w:right w:val="none" w:sz="0" w:space="0" w:color="auto"/>
          </w:divBdr>
          <w:divsChild>
            <w:div w:id="545724609">
              <w:marLeft w:val="0"/>
              <w:marRight w:val="0"/>
              <w:marTop w:val="0"/>
              <w:marBottom w:val="0"/>
              <w:divBdr>
                <w:top w:val="none" w:sz="0" w:space="0" w:color="auto"/>
                <w:left w:val="none" w:sz="0" w:space="0" w:color="auto"/>
                <w:bottom w:val="none" w:sz="0" w:space="0" w:color="auto"/>
                <w:right w:val="none" w:sz="0" w:space="0" w:color="auto"/>
              </w:divBdr>
              <w:divsChild>
                <w:div w:id="8450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0654">
      <w:bodyDiv w:val="1"/>
      <w:marLeft w:val="0"/>
      <w:marRight w:val="0"/>
      <w:marTop w:val="0"/>
      <w:marBottom w:val="0"/>
      <w:divBdr>
        <w:top w:val="none" w:sz="0" w:space="0" w:color="auto"/>
        <w:left w:val="none" w:sz="0" w:space="0" w:color="auto"/>
        <w:bottom w:val="none" w:sz="0" w:space="0" w:color="auto"/>
        <w:right w:val="none" w:sz="0" w:space="0" w:color="auto"/>
      </w:divBdr>
      <w:divsChild>
        <w:div w:id="285426538">
          <w:marLeft w:val="0"/>
          <w:marRight w:val="0"/>
          <w:marTop w:val="0"/>
          <w:marBottom w:val="0"/>
          <w:divBdr>
            <w:top w:val="none" w:sz="0" w:space="0" w:color="auto"/>
            <w:left w:val="none" w:sz="0" w:space="0" w:color="auto"/>
            <w:bottom w:val="none" w:sz="0" w:space="0" w:color="auto"/>
            <w:right w:val="none" w:sz="0" w:space="0" w:color="auto"/>
          </w:divBdr>
          <w:divsChild>
            <w:div w:id="737635222">
              <w:marLeft w:val="0"/>
              <w:marRight w:val="0"/>
              <w:marTop w:val="0"/>
              <w:marBottom w:val="0"/>
              <w:divBdr>
                <w:top w:val="none" w:sz="0" w:space="0" w:color="auto"/>
                <w:left w:val="none" w:sz="0" w:space="0" w:color="auto"/>
                <w:bottom w:val="none" w:sz="0" w:space="0" w:color="auto"/>
                <w:right w:val="none" w:sz="0" w:space="0" w:color="auto"/>
              </w:divBdr>
              <w:divsChild>
                <w:div w:id="620692725">
                  <w:marLeft w:val="0"/>
                  <w:marRight w:val="0"/>
                  <w:marTop w:val="0"/>
                  <w:marBottom w:val="0"/>
                  <w:divBdr>
                    <w:top w:val="none" w:sz="0" w:space="0" w:color="auto"/>
                    <w:left w:val="none" w:sz="0" w:space="0" w:color="auto"/>
                    <w:bottom w:val="none" w:sz="0" w:space="0" w:color="auto"/>
                    <w:right w:val="none" w:sz="0" w:space="0" w:color="auto"/>
                  </w:divBdr>
                </w:div>
              </w:divsChild>
            </w:div>
            <w:div w:id="229123478">
              <w:marLeft w:val="0"/>
              <w:marRight w:val="0"/>
              <w:marTop w:val="0"/>
              <w:marBottom w:val="0"/>
              <w:divBdr>
                <w:top w:val="none" w:sz="0" w:space="0" w:color="auto"/>
                <w:left w:val="none" w:sz="0" w:space="0" w:color="auto"/>
                <w:bottom w:val="none" w:sz="0" w:space="0" w:color="auto"/>
                <w:right w:val="none" w:sz="0" w:space="0" w:color="auto"/>
              </w:divBdr>
              <w:divsChild>
                <w:div w:id="20194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3702">
          <w:marLeft w:val="0"/>
          <w:marRight w:val="0"/>
          <w:marTop w:val="0"/>
          <w:marBottom w:val="0"/>
          <w:divBdr>
            <w:top w:val="none" w:sz="0" w:space="0" w:color="auto"/>
            <w:left w:val="none" w:sz="0" w:space="0" w:color="auto"/>
            <w:bottom w:val="none" w:sz="0" w:space="0" w:color="auto"/>
            <w:right w:val="none" w:sz="0" w:space="0" w:color="auto"/>
          </w:divBdr>
          <w:divsChild>
            <w:div w:id="1558124874">
              <w:marLeft w:val="0"/>
              <w:marRight w:val="0"/>
              <w:marTop w:val="0"/>
              <w:marBottom w:val="0"/>
              <w:divBdr>
                <w:top w:val="none" w:sz="0" w:space="0" w:color="auto"/>
                <w:left w:val="none" w:sz="0" w:space="0" w:color="auto"/>
                <w:bottom w:val="none" w:sz="0" w:space="0" w:color="auto"/>
                <w:right w:val="none" w:sz="0" w:space="0" w:color="auto"/>
              </w:divBdr>
              <w:divsChild>
                <w:div w:id="12244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41474">
      <w:bodyDiv w:val="1"/>
      <w:marLeft w:val="0"/>
      <w:marRight w:val="0"/>
      <w:marTop w:val="0"/>
      <w:marBottom w:val="0"/>
      <w:divBdr>
        <w:top w:val="none" w:sz="0" w:space="0" w:color="auto"/>
        <w:left w:val="none" w:sz="0" w:space="0" w:color="auto"/>
        <w:bottom w:val="none" w:sz="0" w:space="0" w:color="auto"/>
        <w:right w:val="none" w:sz="0" w:space="0" w:color="auto"/>
      </w:divBdr>
      <w:divsChild>
        <w:div w:id="155342222">
          <w:marLeft w:val="0"/>
          <w:marRight w:val="0"/>
          <w:marTop w:val="0"/>
          <w:marBottom w:val="0"/>
          <w:divBdr>
            <w:top w:val="none" w:sz="0" w:space="0" w:color="auto"/>
            <w:left w:val="none" w:sz="0" w:space="0" w:color="auto"/>
            <w:bottom w:val="none" w:sz="0" w:space="0" w:color="auto"/>
            <w:right w:val="none" w:sz="0" w:space="0" w:color="auto"/>
          </w:divBdr>
          <w:divsChild>
            <w:div w:id="492456983">
              <w:marLeft w:val="0"/>
              <w:marRight w:val="0"/>
              <w:marTop w:val="0"/>
              <w:marBottom w:val="0"/>
              <w:divBdr>
                <w:top w:val="none" w:sz="0" w:space="0" w:color="auto"/>
                <w:left w:val="none" w:sz="0" w:space="0" w:color="auto"/>
                <w:bottom w:val="none" w:sz="0" w:space="0" w:color="auto"/>
                <w:right w:val="none" w:sz="0" w:space="0" w:color="auto"/>
              </w:divBdr>
              <w:divsChild>
                <w:div w:id="1789158528">
                  <w:marLeft w:val="0"/>
                  <w:marRight w:val="0"/>
                  <w:marTop w:val="0"/>
                  <w:marBottom w:val="0"/>
                  <w:divBdr>
                    <w:top w:val="none" w:sz="0" w:space="0" w:color="auto"/>
                    <w:left w:val="none" w:sz="0" w:space="0" w:color="auto"/>
                    <w:bottom w:val="none" w:sz="0" w:space="0" w:color="auto"/>
                    <w:right w:val="none" w:sz="0" w:space="0" w:color="auto"/>
                  </w:divBdr>
                </w:div>
              </w:divsChild>
            </w:div>
            <w:div w:id="507911586">
              <w:marLeft w:val="0"/>
              <w:marRight w:val="0"/>
              <w:marTop w:val="0"/>
              <w:marBottom w:val="0"/>
              <w:divBdr>
                <w:top w:val="none" w:sz="0" w:space="0" w:color="auto"/>
                <w:left w:val="none" w:sz="0" w:space="0" w:color="auto"/>
                <w:bottom w:val="none" w:sz="0" w:space="0" w:color="auto"/>
                <w:right w:val="none" w:sz="0" w:space="0" w:color="auto"/>
              </w:divBdr>
              <w:divsChild>
                <w:div w:id="933630601">
                  <w:marLeft w:val="0"/>
                  <w:marRight w:val="0"/>
                  <w:marTop w:val="0"/>
                  <w:marBottom w:val="0"/>
                  <w:divBdr>
                    <w:top w:val="none" w:sz="0" w:space="0" w:color="auto"/>
                    <w:left w:val="none" w:sz="0" w:space="0" w:color="auto"/>
                    <w:bottom w:val="none" w:sz="0" w:space="0" w:color="auto"/>
                    <w:right w:val="none" w:sz="0" w:space="0" w:color="auto"/>
                  </w:divBdr>
                </w:div>
              </w:divsChild>
            </w:div>
            <w:div w:id="548340842">
              <w:marLeft w:val="0"/>
              <w:marRight w:val="0"/>
              <w:marTop w:val="0"/>
              <w:marBottom w:val="0"/>
              <w:divBdr>
                <w:top w:val="none" w:sz="0" w:space="0" w:color="auto"/>
                <w:left w:val="none" w:sz="0" w:space="0" w:color="auto"/>
                <w:bottom w:val="none" w:sz="0" w:space="0" w:color="auto"/>
                <w:right w:val="none" w:sz="0" w:space="0" w:color="auto"/>
              </w:divBdr>
              <w:divsChild>
                <w:div w:id="1925844063">
                  <w:marLeft w:val="0"/>
                  <w:marRight w:val="0"/>
                  <w:marTop w:val="0"/>
                  <w:marBottom w:val="0"/>
                  <w:divBdr>
                    <w:top w:val="none" w:sz="0" w:space="0" w:color="auto"/>
                    <w:left w:val="none" w:sz="0" w:space="0" w:color="auto"/>
                    <w:bottom w:val="none" w:sz="0" w:space="0" w:color="auto"/>
                    <w:right w:val="none" w:sz="0" w:space="0" w:color="auto"/>
                  </w:divBdr>
                </w:div>
              </w:divsChild>
            </w:div>
            <w:div w:id="836968127">
              <w:marLeft w:val="0"/>
              <w:marRight w:val="0"/>
              <w:marTop w:val="0"/>
              <w:marBottom w:val="0"/>
              <w:divBdr>
                <w:top w:val="none" w:sz="0" w:space="0" w:color="auto"/>
                <w:left w:val="none" w:sz="0" w:space="0" w:color="auto"/>
                <w:bottom w:val="none" w:sz="0" w:space="0" w:color="auto"/>
                <w:right w:val="none" w:sz="0" w:space="0" w:color="auto"/>
              </w:divBdr>
              <w:divsChild>
                <w:div w:id="627197982">
                  <w:marLeft w:val="0"/>
                  <w:marRight w:val="0"/>
                  <w:marTop w:val="0"/>
                  <w:marBottom w:val="0"/>
                  <w:divBdr>
                    <w:top w:val="none" w:sz="0" w:space="0" w:color="auto"/>
                    <w:left w:val="none" w:sz="0" w:space="0" w:color="auto"/>
                    <w:bottom w:val="none" w:sz="0" w:space="0" w:color="auto"/>
                    <w:right w:val="none" w:sz="0" w:space="0" w:color="auto"/>
                  </w:divBdr>
                </w:div>
              </w:divsChild>
            </w:div>
            <w:div w:id="1241522898">
              <w:marLeft w:val="0"/>
              <w:marRight w:val="0"/>
              <w:marTop w:val="0"/>
              <w:marBottom w:val="0"/>
              <w:divBdr>
                <w:top w:val="none" w:sz="0" w:space="0" w:color="auto"/>
                <w:left w:val="none" w:sz="0" w:space="0" w:color="auto"/>
                <w:bottom w:val="none" w:sz="0" w:space="0" w:color="auto"/>
                <w:right w:val="none" w:sz="0" w:space="0" w:color="auto"/>
              </w:divBdr>
              <w:divsChild>
                <w:div w:id="447554424">
                  <w:marLeft w:val="0"/>
                  <w:marRight w:val="0"/>
                  <w:marTop w:val="0"/>
                  <w:marBottom w:val="0"/>
                  <w:divBdr>
                    <w:top w:val="none" w:sz="0" w:space="0" w:color="auto"/>
                    <w:left w:val="none" w:sz="0" w:space="0" w:color="auto"/>
                    <w:bottom w:val="none" w:sz="0" w:space="0" w:color="auto"/>
                    <w:right w:val="none" w:sz="0" w:space="0" w:color="auto"/>
                  </w:divBdr>
                </w:div>
                <w:div w:id="529223488">
                  <w:marLeft w:val="0"/>
                  <w:marRight w:val="0"/>
                  <w:marTop w:val="0"/>
                  <w:marBottom w:val="0"/>
                  <w:divBdr>
                    <w:top w:val="none" w:sz="0" w:space="0" w:color="auto"/>
                    <w:left w:val="none" w:sz="0" w:space="0" w:color="auto"/>
                    <w:bottom w:val="none" w:sz="0" w:space="0" w:color="auto"/>
                    <w:right w:val="none" w:sz="0" w:space="0" w:color="auto"/>
                  </w:divBdr>
                </w:div>
              </w:divsChild>
            </w:div>
            <w:div w:id="1358189841">
              <w:marLeft w:val="0"/>
              <w:marRight w:val="0"/>
              <w:marTop w:val="0"/>
              <w:marBottom w:val="0"/>
              <w:divBdr>
                <w:top w:val="none" w:sz="0" w:space="0" w:color="auto"/>
                <w:left w:val="none" w:sz="0" w:space="0" w:color="auto"/>
                <w:bottom w:val="none" w:sz="0" w:space="0" w:color="auto"/>
                <w:right w:val="none" w:sz="0" w:space="0" w:color="auto"/>
              </w:divBdr>
              <w:divsChild>
                <w:div w:id="896402738">
                  <w:marLeft w:val="0"/>
                  <w:marRight w:val="0"/>
                  <w:marTop w:val="0"/>
                  <w:marBottom w:val="0"/>
                  <w:divBdr>
                    <w:top w:val="none" w:sz="0" w:space="0" w:color="auto"/>
                    <w:left w:val="none" w:sz="0" w:space="0" w:color="auto"/>
                    <w:bottom w:val="none" w:sz="0" w:space="0" w:color="auto"/>
                    <w:right w:val="none" w:sz="0" w:space="0" w:color="auto"/>
                  </w:divBdr>
                </w:div>
              </w:divsChild>
            </w:div>
            <w:div w:id="1787237626">
              <w:marLeft w:val="0"/>
              <w:marRight w:val="0"/>
              <w:marTop w:val="0"/>
              <w:marBottom w:val="0"/>
              <w:divBdr>
                <w:top w:val="none" w:sz="0" w:space="0" w:color="auto"/>
                <w:left w:val="none" w:sz="0" w:space="0" w:color="auto"/>
                <w:bottom w:val="none" w:sz="0" w:space="0" w:color="auto"/>
                <w:right w:val="none" w:sz="0" w:space="0" w:color="auto"/>
              </w:divBdr>
              <w:divsChild>
                <w:div w:id="1832984581">
                  <w:marLeft w:val="0"/>
                  <w:marRight w:val="0"/>
                  <w:marTop w:val="0"/>
                  <w:marBottom w:val="0"/>
                  <w:divBdr>
                    <w:top w:val="none" w:sz="0" w:space="0" w:color="auto"/>
                    <w:left w:val="none" w:sz="0" w:space="0" w:color="auto"/>
                    <w:bottom w:val="none" w:sz="0" w:space="0" w:color="auto"/>
                    <w:right w:val="none" w:sz="0" w:space="0" w:color="auto"/>
                  </w:divBdr>
                </w:div>
              </w:divsChild>
            </w:div>
            <w:div w:id="1977487726">
              <w:marLeft w:val="0"/>
              <w:marRight w:val="0"/>
              <w:marTop w:val="0"/>
              <w:marBottom w:val="0"/>
              <w:divBdr>
                <w:top w:val="none" w:sz="0" w:space="0" w:color="auto"/>
                <w:left w:val="none" w:sz="0" w:space="0" w:color="auto"/>
                <w:bottom w:val="none" w:sz="0" w:space="0" w:color="auto"/>
                <w:right w:val="none" w:sz="0" w:space="0" w:color="auto"/>
              </w:divBdr>
              <w:divsChild>
                <w:div w:id="16762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754">
          <w:marLeft w:val="0"/>
          <w:marRight w:val="0"/>
          <w:marTop w:val="0"/>
          <w:marBottom w:val="0"/>
          <w:divBdr>
            <w:top w:val="none" w:sz="0" w:space="0" w:color="auto"/>
            <w:left w:val="none" w:sz="0" w:space="0" w:color="auto"/>
            <w:bottom w:val="none" w:sz="0" w:space="0" w:color="auto"/>
            <w:right w:val="none" w:sz="0" w:space="0" w:color="auto"/>
          </w:divBdr>
          <w:divsChild>
            <w:div w:id="621036609">
              <w:marLeft w:val="0"/>
              <w:marRight w:val="0"/>
              <w:marTop w:val="0"/>
              <w:marBottom w:val="0"/>
              <w:divBdr>
                <w:top w:val="none" w:sz="0" w:space="0" w:color="auto"/>
                <w:left w:val="none" w:sz="0" w:space="0" w:color="auto"/>
                <w:bottom w:val="none" w:sz="0" w:space="0" w:color="auto"/>
                <w:right w:val="none" w:sz="0" w:space="0" w:color="auto"/>
              </w:divBdr>
              <w:divsChild>
                <w:div w:id="2136674062">
                  <w:marLeft w:val="0"/>
                  <w:marRight w:val="0"/>
                  <w:marTop w:val="0"/>
                  <w:marBottom w:val="0"/>
                  <w:divBdr>
                    <w:top w:val="none" w:sz="0" w:space="0" w:color="auto"/>
                    <w:left w:val="none" w:sz="0" w:space="0" w:color="auto"/>
                    <w:bottom w:val="none" w:sz="0" w:space="0" w:color="auto"/>
                    <w:right w:val="none" w:sz="0" w:space="0" w:color="auto"/>
                  </w:divBdr>
                </w:div>
              </w:divsChild>
            </w:div>
            <w:div w:id="675886057">
              <w:marLeft w:val="0"/>
              <w:marRight w:val="0"/>
              <w:marTop w:val="0"/>
              <w:marBottom w:val="0"/>
              <w:divBdr>
                <w:top w:val="none" w:sz="0" w:space="0" w:color="auto"/>
                <w:left w:val="none" w:sz="0" w:space="0" w:color="auto"/>
                <w:bottom w:val="none" w:sz="0" w:space="0" w:color="auto"/>
                <w:right w:val="none" w:sz="0" w:space="0" w:color="auto"/>
              </w:divBdr>
              <w:divsChild>
                <w:div w:id="892352747">
                  <w:marLeft w:val="0"/>
                  <w:marRight w:val="0"/>
                  <w:marTop w:val="0"/>
                  <w:marBottom w:val="0"/>
                  <w:divBdr>
                    <w:top w:val="none" w:sz="0" w:space="0" w:color="auto"/>
                    <w:left w:val="none" w:sz="0" w:space="0" w:color="auto"/>
                    <w:bottom w:val="none" w:sz="0" w:space="0" w:color="auto"/>
                    <w:right w:val="none" w:sz="0" w:space="0" w:color="auto"/>
                  </w:divBdr>
                </w:div>
              </w:divsChild>
            </w:div>
            <w:div w:id="760107999">
              <w:marLeft w:val="0"/>
              <w:marRight w:val="0"/>
              <w:marTop w:val="0"/>
              <w:marBottom w:val="0"/>
              <w:divBdr>
                <w:top w:val="none" w:sz="0" w:space="0" w:color="auto"/>
                <w:left w:val="none" w:sz="0" w:space="0" w:color="auto"/>
                <w:bottom w:val="none" w:sz="0" w:space="0" w:color="auto"/>
                <w:right w:val="none" w:sz="0" w:space="0" w:color="auto"/>
              </w:divBdr>
              <w:divsChild>
                <w:div w:id="1600290703">
                  <w:marLeft w:val="0"/>
                  <w:marRight w:val="0"/>
                  <w:marTop w:val="0"/>
                  <w:marBottom w:val="0"/>
                  <w:divBdr>
                    <w:top w:val="none" w:sz="0" w:space="0" w:color="auto"/>
                    <w:left w:val="none" w:sz="0" w:space="0" w:color="auto"/>
                    <w:bottom w:val="none" w:sz="0" w:space="0" w:color="auto"/>
                    <w:right w:val="none" w:sz="0" w:space="0" w:color="auto"/>
                  </w:divBdr>
                </w:div>
              </w:divsChild>
            </w:div>
            <w:div w:id="979455536">
              <w:marLeft w:val="0"/>
              <w:marRight w:val="0"/>
              <w:marTop w:val="0"/>
              <w:marBottom w:val="0"/>
              <w:divBdr>
                <w:top w:val="none" w:sz="0" w:space="0" w:color="auto"/>
                <w:left w:val="none" w:sz="0" w:space="0" w:color="auto"/>
                <w:bottom w:val="none" w:sz="0" w:space="0" w:color="auto"/>
                <w:right w:val="none" w:sz="0" w:space="0" w:color="auto"/>
              </w:divBdr>
              <w:divsChild>
                <w:div w:id="11547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90653">
          <w:marLeft w:val="0"/>
          <w:marRight w:val="0"/>
          <w:marTop w:val="0"/>
          <w:marBottom w:val="0"/>
          <w:divBdr>
            <w:top w:val="none" w:sz="0" w:space="0" w:color="auto"/>
            <w:left w:val="none" w:sz="0" w:space="0" w:color="auto"/>
            <w:bottom w:val="none" w:sz="0" w:space="0" w:color="auto"/>
            <w:right w:val="none" w:sz="0" w:space="0" w:color="auto"/>
          </w:divBdr>
          <w:divsChild>
            <w:div w:id="281502905">
              <w:marLeft w:val="0"/>
              <w:marRight w:val="0"/>
              <w:marTop w:val="0"/>
              <w:marBottom w:val="0"/>
              <w:divBdr>
                <w:top w:val="none" w:sz="0" w:space="0" w:color="auto"/>
                <w:left w:val="none" w:sz="0" w:space="0" w:color="auto"/>
                <w:bottom w:val="none" w:sz="0" w:space="0" w:color="auto"/>
                <w:right w:val="none" w:sz="0" w:space="0" w:color="auto"/>
              </w:divBdr>
              <w:divsChild>
                <w:div w:id="13795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0467">
          <w:marLeft w:val="0"/>
          <w:marRight w:val="0"/>
          <w:marTop w:val="0"/>
          <w:marBottom w:val="0"/>
          <w:divBdr>
            <w:top w:val="none" w:sz="0" w:space="0" w:color="auto"/>
            <w:left w:val="none" w:sz="0" w:space="0" w:color="auto"/>
            <w:bottom w:val="none" w:sz="0" w:space="0" w:color="auto"/>
            <w:right w:val="none" w:sz="0" w:space="0" w:color="auto"/>
          </w:divBdr>
          <w:divsChild>
            <w:div w:id="1454322340">
              <w:marLeft w:val="0"/>
              <w:marRight w:val="0"/>
              <w:marTop w:val="0"/>
              <w:marBottom w:val="0"/>
              <w:divBdr>
                <w:top w:val="none" w:sz="0" w:space="0" w:color="auto"/>
                <w:left w:val="none" w:sz="0" w:space="0" w:color="auto"/>
                <w:bottom w:val="none" w:sz="0" w:space="0" w:color="auto"/>
                <w:right w:val="none" w:sz="0" w:space="0" w:color="auto"/>
              </w:divBdr>
              <w:divsChild>
                <w:div w:id="1789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462">
          <w:marLeft w:val="0"/>
          <w:marRight w:val="0"/>
          <w:marTop w:val="0"/>
          <w:marBottom w:val="0"/>
          <w:divBdr>
            <w:top w:val="none" w:sz="0" w:space="0" w:color="auto"/>
            <w:left w:val="none" w:sz="0" w:space="0" w:color="auto"/>
            <w:bottom w:val="none" w:sz="0" w:space="0" w:color="auto"/>
            <w:right w:val="none" w:sz="0" w:space="0" w:color="auto"/>
          </w:divBdr>
          <w:divsChild>
            <w:div w:id="265236366">
              <w:marLeft w:val="0"/>
              <w:marRight w:val="0"/>
              <w:marTop w:val="0"/>
              <w:marBottom w:val="0"/>
              <w:divBdr>
                <w:top w:val="none" w:sz="0" w:space="0" w:color="auto"/>
                <w:left w:val="none" w:sz="0" w:space="0" w:color="auto"/>
                <w:bottom w:val="none" w:sz="0" w:space="0" w:color="auto"/>
                <w:right w:val="none" w:sz="0" w:space="0" w:color="auto"/>
              </w:divBdr>
              <w:divsChild>
                <w:div w:id="9969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032">
      <w:bodyDiv w:val="1"/>
      <w:marLeft w:val="0"/>
      <w:marRight w:val="0"/>
      <w:marTop w:val="0"/>
      <w:marBottom w:val="0"/>
      <w:divBdr>
        <w:top w:val="none" w:sz="0" w:space="0" w:color="auto"/>
        <w:left w:val="none" w:sz="0" w:space="0" w:color="auto"/>
        <w:bottom w:val="none" w:sz="0" w:space="0" w:color="auto"/>
        <w:right w:val="none" w:sz="0" w:space="0" w:color="auto"/>
      </w:divBdr>
      <w:divsChild>
        <w:div w:id="1662126215">
          <w:marLeft w:val="0"/>
          <w:marRight w:val="0"/>
          <w:marTop w:val="0"/>
          <w:marBottom w:val="0"/>
          <w:divBdr>
            <w:top w:val="none" w:sz="0" w:space="0" w:color="auto"/>
            <w:left w:val="none" w:sz="0" w:space="0" w:color="auto"/>
            <w:bottom w:val="none" w:sz="0" w:space="0" w:color="auto"/>
            <w:right w:val="none" w:sz="0" w:space="0" w:color="auto"/>
          </w:divBdr>
          <w:divsChild>
            <w:div w:id="363210800">
              <w:marLeft w:val="0"/>
              <w:marRight w:val="0"/>
              <w:marTop w:val="0"/>
              <w:marBottom w:val="0"/>
              <w:divBdr>
                <w:top w:val="none" w:sz="0" w:space="0" w:color="auto"/>
                <w:left w:val="none" w:sz="0" w:space="0" w:color="auto"/>
                <w:bottom w:val="none" w:sz="0" w:space="0" w:color="auto"/>
                <w:right w:val="none" w:sz="0" w:space="0" w:color="auto"/>
              </w:divBdr>
              <w:divsChild>
                <w:div w:id="2011061932">
                  <w:marLeft w:val="0"/>
                  <w:marRight w:val="0"/>
                  <w:marTop w:val="0"/>
                  <w:marBottom w:val="0"/>
                  <w:divBdr>
                    <w:top w:val="none" w:sz="0" w:space="0" w:color="auto"/>
                    <w:left w:val="none" w:sz="0" w:space="0" w:color="auto"/>
                    <w:bottom w:val="none" w:sz="0" w:space="0" w:color="auto"/>
                    <w:right w:val="none" w:sz="0" w:space="0" w:color="auto"/>
                  </w:divBdr>
                </w:div>
              </w:divsChild>
            </w:div>
            <w:div w:id="1610774489">
              <w:marLeft w:val="0"/>
              <w:marRight w:val="0"/>
              <w:marTop w:val="0"/>
              <w:marBottom w:val="0"/>
              <w:divBdr>
                <w:top w:val="none" w:sz="0" w:space="0" w:color="auto"/>
                <w:left w:val="none" w:sz="0" w:space="0" w:color="auto"/>
                <w:bottom w:val="none" w:sz="0" w:space="0" w:color="auto"/>
                <w:right w:val="none" w:sz="0" w:space="0" w:color="auto"/>
              </w:divBdr>
              <w:divsChild>
                <w:div w:id="11339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4668">
          <w:marLeft w:val="0"/>
          <w:marRight w:val="0"/>
          <w:marTop w:val="0"/>
          <w:marBottom w:val="0"/>
          <w:divBdr>
            <w:top w:val="none" w:sz="0" w:space="0" w:color="auto"/>
            <w:left w:val="none" w:sz="0" w:space="0" w:color="auto"/>
            <w:bottom w:val="none" w:sz="0" w:space="0" w:color="auto"/>
            <w:right w:val="none" w:sz="0" w:space="0" w:color="auto"/>
          </w:divBdr>
          <w:divsChild>
            <w:div w:id="678776271">
              <w:marLeft w:val="0"/>
              <w:marRight w:val="0"/>
              <w:marTop w:val="0"/>
              <w:marBottom w:val="0"/>
              <w:divBdr>
                <w:top w:val="none" w:sz="0" w:space="0" w:color="auto"/>
                <w:left w:val="none" w:sz="0" w:space="0" w:color="auto"/>
                <w:bottom w:val="none" w:sz="0" w:space="0" w:color="auto"/>
                <w:right w:val="none" w:sz="0" w:space="0" w:color="auto"/>
              </w:divBdr>
              <w:divsChild>
                <w:div w:id="797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cy27i\Application%20Data\JudgmentTemplate\hc_judg2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757F2BA357854E9807447FDB5B22C7" ma:contentTypeVersion="7" ma:contentTypeDescription="Create a new document." ma:contentTypeScope="" ma:versionID="b226c71ef6b4de5dbaee5f076d882612">
  <xsd:schema xmlns:xsd="http://www.w3.org/2001/XMLSchema" xmlns:xs="http://www.w3.org/2001/XMLSchema" xmlns:p="http://schemas.microsoft.com/office/2006/metadata/properties" xmlns:ns3="af92f8fd-8204-4338-85a1-e67837882663" targetNamespace="http://schemas.microsoft.com/office/2006/metadata/properties" ma:root="true" ma:fieldsID="94e6622b90423d2ec7862608a5a11142" ns3:_="">
    <xsd:import namespace="af92f8fd-8204-4338-85a1-e678378826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2f8fd-8204-4338-85a1-e67837882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F68A4C-5AEF-4615-9F42-90B6F8A41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2f8fd-8204-4338-85a1-e67837882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7E7477-4961-4CD1-B43C-6236FDBDEC24}">
  <ds:schemaRefs>
    <ds:schemaRef ds:uri="http://schemas.microsoft.com/sharepoint/v3/contenttype/forms"/>
  </ds:schemaRefs>
</ds:datastoreItem>
</file>

<file path=customXml/itemProps3.xml><?xml version="1.0" encoding="utf-8"?>
<ds:datastoreItem xmlns:ds="http://schemas.openxmlformats.org/officeDocument/2006/customXml" ds:itemID="{46231EB1-B685-4DCE-AF07-D789A53A19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hc_judg2k</Template>
  <TotalTime>0</TotalTime>
  <Pages>3</Pages>
  <Words>11838</Words>
  <Characters>65109</Characters>
  <Application>Microsoft Office Word</Application>
  <DocSecurity>0</DocSecurity>
  <Lines>542</Lines>
  <Paragraphs>153</Paragraphs>
  <ScaleCrop>false</ScaleCrop>
  <HeadingPairs>
    <vt:vector size="2" baseType="variant">
      <vt:variant>
        <vt:lpstr>Title</vt:lpstr>
      </vt:variant>
      <vt:variant>
        <vt:i4>1</vt:i4>
      </vt:variant>
    </vt:vector>
  </HeadingPairs>
  <TitlesOfParts>
    <vt:vector size="1" baseType="lpstr">
      <vt:lpstr>High Court Judgment Template</vt:lpstr>
    </vt:vector>
  </TitlesOfParts>
  <Company>RCJ - In House Applications</Company>
  <LinksUpToDate>false</LinksUpToDate>
  <CharactersWithSpaces>76794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Court Judgment Template</dc:title>
  <dc:creator>gcy27i</dc:creator>
  <cp:lastModifiedBy>AnnetteHirschfeld</cp:lastModifiedBy>
  <cp:revision>2</cp:revision>
  <cp:lastPrinted>2019-09-28T19:53:00Z</cp:lastPrinted>
  <dcterms:created xsi:type="dcterms:W3CDTF">2019-12-09T08:14:00Z</dcterms:created>
  <dcterms:modified xsi:type="dcterms:W3CDTF">2019-12-09T08:14:00Z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dgment">
    <vt:bool>true</vt:bool>
  </property>
  <property fmtid="{D5CDD505-2E9C-101B-9397-08002B2CF9AE}" pid="3" name="Type">
    <vt:lpwstr>HC</vt:lpwstr>
  </property>
  <property fmtid="{D5CDD505-2E9C-101B-9397-08002B2CF9AE}" pid="4" name="Division">
    <vt:lpwstr>CHANCERY DIVISION</vt:lpwstr>
  </property>
  <property fmtid="{D5CDD505-2E9C-101B-9397-08002B2CF9AE}" pid="5" name="SubDivision">
    <vt:lpwstr/>
  </property>
  <property fmtid="{D5CDD505-2E9C-101B-9397-08002B2CF9AE}" pid="6" name="ApprovedStage">
    <vt:lpwstr>Draft</vt:lpwstr>
  </property>
  <property fmtid="{D5CDD505-2E9C-101B-9397-08002B2CF9AE}" pid="7" name="NCDiv">
    <vt:lpwstr>Ch</vt:lpwstr>
  </property>
  <property fmtid="{D5CDD505-2E9C-101B-9397-08002B2CF9AE}" pid="8" name="NCCaseNum">
    <vt:lpwstr>IP14SO3855</vt:lpwstr>
  </property>
  <property fmtid="{D5CDD505-2E9C-101B-9397-08002B2CF9AE}" pid="9" name="ContentTypeId">
    <vt:lpwstr>0x010100FA757F2BA357854E9807447FDB5B22C7</vt:lpwstr>
  </property>
  <property fmtid="{D5CDD505-2E9C-101B-9397-08002B2CF9AE}" pid="10" name="TextOK">
    <vt:bool>false</vt:bool>
  </property>
  <property fmtid="{D5CDD505-2E9C-101B-9397-08002B2CF9AE}" pid="11" name="HeaderOK">
    <vt:bool>true</vt:bool>
  </property>
  <property fmtid="{D5CDD505-2E9C-101B-9397-08002B2CF9AE}" pid="12" name="CrestOK">
    <vt:bool>true</vt:bool>
  </property>
  <property fmtid="{D5CDD505-2E9C-101B-9397-08002B2CF9AE}" pid="13" name="FooterOK">
    <vt:bool>true</vt:bool>
  </property>
</Properties>
</file>