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CC" w:rsidRDefault="00C20ACC" w:rsidP="00C20ACC">
      <w:pPr>
        <w:jc w:val="both"/>
        <w:rPr>
          <w:lang w:val="en-GB"/>
        </w:rPr>
      </w:pPr>
      <w:bookmarkStart w:id="0" w:name="_GoBack"/>
      <w:bookmarkEnd w:id="0"/>
    </w:p>
    <w:p w:rsidR="00C20ACC" w:rsidRPr="00461748" w:rsidRDefault="00C20ACC" w:rsidP="00461748">
      <w:pPr>
        <w:pBdr>
          <w:bottom w:val="single" w:sz="18" w:space="1" w:color="201C84"/>
        </w:pBdr>
        <w:jc w:val="center"/>
        <w:rPr>
          <w:b/>
          <w:color w:val="000000"/>
          <w:sz w:val="28"/>
        </w:rPr>
      </w:pPr>
      <w:r w:rsidRPr="00461748">
        <w:rPr>
          <w:b/>
          <w:color w:val="000000"/>
          <w:sz w:val="28"/>
        </w:rPr>
        <w:t>PROTOCOL OF TRADE SECRETS PROTECTION</w:t>
      </w:r>
    </w:p>
    <w:p w:rsidR="00C20ACC" w:rsidRDefault="00C20ACC" w:rsidP="00C20ACC">
      <w:pPr>
        <w:jc w:val="both"/>
        <w:rPr>
          <w:lang w:val="en-GB"/>
        </w:rPr>
      </w:pPr>
    </w:p>
    <w:p w:rsidR="00C20ACC" w:rsidRDefault="00C20ACC" w:rsidP="00C20ACC">
      <w:pPr>
        <w:jc w:val="both"/>
        <w:rPr>
          <w:lang w:val="en-GB"/>
        </w:rPr>
      </w:pPr>
      <w:r>
        <w:rPr>
          <w:lang w:val="en-GB"/>
        </w:rPr>
        <w:t>In light of the recent approval of the Law</w:t>
      </w:r>
      <w:r w:rsidRPr="00C20ACC">
        <w:t xml:space="preserve"> </w:t>
      </w:r>
      <w:r w:rsidRPr="00C20ACC">
        <w:rPr>
          <w:lang w:val="en-GB"/>
        </w:rPr>
        <w:t xml:space="preserve">on Trade Secrets, which </w:t>
      </w:r>
      <w:r>
        <w:rPr>
          <w:lang w:val="en-GB"/>
        </w:rPr>
        <w:t>entered</w:t>
      </w:r>
      <w:r w:rsidRPr="00C20ACC">
        <w:rPr>
          <w:lang w:val="en-GB"/>
        </w:rPr>
        <w:t xml:space="preserve"> into force </w:t>
      </w:r>
      <w:r>
        <w:rPr>
          <w:lang w:val="en-GB"/>
        </w:rPr>
        <w:t>in</w:t>
      </w:r>
      <w:r w:rsidRPr="00C20ACC">
        <w:rPr>
          <w:lang w:val="en-GB"/>
        </w:rPr>
        <w:t xml:space="preserve"> March 13th, 2019</w:t>
      </w:r>
      <w:r>
        <w:rPr>
          <w:lang w:val="en-GB"/>
        </w:rPr>
        <w:t xml:space="preserve">, which transposes the Directive on the protection of undisclosed know-how and business information (trade secrets), the Courts of Barcelona have issued a Protocol </w:t>
      </w:r>
      <w:r w:rsidRPr="00A47463">
        <w:rPr>
          <w:lang w:val="en-GB"/>
        </w:rPr>
        <w:t>of Trade Secrets Protection</w:t>
      </w:r>
      <w:r>
        <w:rPr>
          <w:lang w:val="en-GB"/>
        </w:rPr>
        <w:t>.</w:t>
      </w:r>
    </w:p>
    <w:p w:rsidR="00C20ACC" w:rsidRDefault="00C20ACC" w:rsidP="00C20ACC">
      <w:pPr>
        <w:jc w:val="both"/>
        <w:rPr>
          <w:lang w:val="en-GB"/>
        </w:rPr>
      </w:pPr>
    </w:p>
    <w:p w:rsidR="00C20ACC" w:rsidRDefault="00C20ACC" w:rsidP="00C20ACC">
      <w:pPr>
        <w:jc w:val="both"/>
        <w:rPr>
          <w:lang w:val="en-GB"/>
        </w:rPr>
      </w:pPr>
      <w:r>
        <w:rPr>
          <w:lang w:val="en-GB"/>
        </w:rPr>
        <w:t>This Protocol has been issued by the Commercial Courts of Barcelona on November, and</w:t>
      </w:r>
      <w:r w:rsidRPr="00A47463">
        <w:rPr>
          <w:lang w:val="en-GB"/>
        </w:rPr>
        <w:t xml:space="preserve"> responds to the need to establish homogeneous procedural practices in the procedural treatment to be given to information that may be considered as secret or confidential in the framework of a judicial procedure.</w:t>
      </w:r>
    </w:p>
    <w:p w:rsidR="00C20ACC" w:rsidRDefault="00C20ACC" w:rsidP="00C20ACC">
      <w:pPr>
        <w:jc w:val="both"/>
        <w:rPr>
          <w:lang w:val="en-GB"/>
        </w:rPr>
      </w:pPr>
    </w:p>
    <w:p w:rsidR="00C20ACC" w:rsidRPr="00C20ACC" w:rsidRDefault="00C20ACC" w:rsidP="00C20ACC">
      <w:pPr>
        <w:jc w:val="both"/>
        <w:rPr>
          <w:lang w:val="en-GB"/>
        </w:rPr>
      </w:pPr>
      <w:r w:rsidRPr="00C20ACC">
        <w:rPr>
          <w:lang w:val="en-GB"/>
        </w:rPr>
        <w:t xml:space="preserve">The scope of this Protocol </w:t>
      </w:r>
      <w:r>
        <w:rPr>
          <w:lang w:val="en-GB"/>
        </w:rPr>
        <w:t xml:space="preserve">is quite </w:t>
      </w:r>
      <w:r w:rsidRPr="00C20ACC">
        <w:rPr>
          <w:lang w:val="en-GB"/>
        </w:rPr>
        <w:t>broad. It covers not only those proceedings in which the possible violation of business secrets is prosecuted as unfair conduct under Law</w:t>
      </w:r>
      <w:r w:rsidR="00B90310">
        <w:rPr>
          <w:lang w:val="en-GB"/>
        </w:rPr>
        <w:t xml:space="preserve"> on Trade Secrets,</w:t>
      </w:r>
      <w:r w:rsidRPr="00C20ACC">
        <w:rPr>
          <w:lang w:val="en-GB"/>
        </w:rPr>
        <w:t xml:space="preserve"> and </w:t>
      </w:r>
      <w:r>
        <w:rPr>
          <w:lang w:val="en-GB"/>
        </w:rPr>
        <w:t xml:space="preserve">under </w:t>
      </w:r>
      <w:r w:rsidRPr="00C20ACC">
        <w:rPr>
          <w:lang w:val="en-GB"/>
        </w:rPr>
        <w:t xml:space="preserve">the Unfair Competition Act, but also for all other civil and commercial proceedings in which, whatever its object, it is declared that certain information </w:t>
      </w:r>
      <w:r>
        <w:rPr>
          <w:lang w:val="en-GB"/>
        </w:rPr>
        <w:t>filed with the Court</w:t>
      </w:r>
      <w:r w:rsidRPr="00C20ACC">
        <w:rPr>
          <w:lang w:val="en-GB"/>
        </w:rPr>
        <w:t xml:space="preserve"> constitutes a secret.</w:t>
      </w:r>
    </w:p>
    <w:p w:rsidR="00C20ACC" w:rsidRDefault="00C20ACC" w:rsidP="00C20ACC">
      <w:pPr>
        <w:jc w:val="both"/>
        <w:rPr>
          <w:lang w:val="en-GB"/>
        </w:rPr>
      </w:pPr>
    </w:p>
    <w:p w:rsidR="00C20ACC" w:rsidRDefault="00C20ACC" w:rsidP="00C20ACC">
      <w:pPr>
        <w:jc w:val="both"/>
        <w:rPr>
          <w:lang w:val="en-GB"/>
        </w:rPr>
      </w:pPr>
      <w:r>
        <w:rPr>
          <w:lang w:val="en-GB"/>
        </w:rPr>
        <w:t xml:space="preserve">The characteristics that the information must comply to be considered a trade secret are established in art. 1 of the Law </w:t>
      </w:r>
      <w:r w:rsidR="00B90310">
        <w:rPr>
          <w:lang w:val="en-GB"/>
        </w:rPr>
        <w:t xml:space="preserve">on Trade Secrets </w:t>
      </w:r>
      <w:r>
        <w:rPr>
          <w:lang w:val="en-GB"/>
        </w:rPr>
        <w:t>and the Protocol also refers to it:</w:t>
      </w:r>
    </w:p>
    <w:p w:rsidR="00C20ACC" w:rsidRDefault="00C20ACC" w:rsidP="00C20ACC">
      <w:pPr>
        <w:ind w:left="720"/>
        <w:jc w:val="both"/>
        <w:rPr>
          <w:lang w:val="en-GB"/>
        </w:rPr>
      </w:pPr>
    </w:p>
    <w:p w:rsidR="00C20ACC" w:rsidRPr="008E1AB2" w:rsidRDefault="00C20ACC" w:rsidP="008E1AB2">
      <w:pPr>
        <w:pStyle w:val="Lijstalinea"/>
        <w:numPr>
          <w:ilvl w:val="0"/>
          <w:numId w:val="10"/>
        </w:numPr>
        <w:jc w:val="both"/>
        <w:rPr>
          <w:lang w:val="en-GB"/>
        </w:rPr>
      </w:pPr>
      <w:r w:rsidRPr="008E1AB2">
        <w:rPr>
          <w:lang w:val="en-GB"/>
        </w:rPr>
        <w:t>It must be secret, not generally known, nor easily accessible.</w:t>
      </w:r>
    </w:p>
    <w:p w:rsidR="00C20ACC" w:rsidRPr="008E1AB2" w:rsidRDefault="00C20ACC" w:rsidP="008E1AB2">
      <w:pPr>
        <w:pStyle w:val="Lijstalinea"/>
        <w:numPr>
          <w:ilvl w:val="0"/>
          <w:numId w:val="10"/>
        </w:numPr>
        <w:jc w:val="both"/>
        <w:rPr>
          <w:lang w:val="en-GB"/>
        </w:rPr>
      </w:pPr>
      <w:r w:rsidRPr="008E1AB2">
        <w:rPr>
          <w:lang w:val="en-GB"/>
        </w:rPr>
        <w:t>It must have a business value, potential or real, because it is a secret.</w:t>
      </w:r>
    </w:p>
    <w:p w:rsidR="00C20ACC" w:rsidRPr="008E1AB2" w:rsidRDefault="00C20ACC" w:rsidP="008E1AB2">
      <w:pPr>
        <w:pStyle w:val="Lijstalinea"/>
        <w:numPr>
          <w:ilvl w:val="0"/>
          <w:numId w:val="10"/>
        </w:numPr>
        <w:jc w:val="both"/>
        <w:rPr>
          <w:lang w:val="en-GB"/>
        </w:rPr>
      </w:pPr>
      <w:r w:rsidRPr="008E1AB2">
        <w:rPr>
          <w:lang w:val="en-GB"/>
        </w:rPr>
        <w:t>It must have been the subject of reasonable measures taken by its proprietor to</w:t>
      </w:r>
      <w:r w:rsidR="008E1AB2">
        <w:rPr>
          <w:lang w:val="en-GB"/>
        </w:rPr>
        <w:t xml:space="preserve"> </w:t>
      </w:r>
      <w:r w:rsidRPr="008E1AB2">
        <w:rPr>
          <w:lang w:val="en-GB"/>
        </w:rPr>
        <w:t xml:space="preserve">keep </w:t>
      </w:r>
      <w:r w:rsidR="008E1AB2">
        <w:rPr>
          <w:lang w:val="en-GB"/>
        </w:rPr>
        <w:t>it</w:t>
      </w:r>
      <w:r w:rsidRPr="008E1AB2">
        <w:rPr>
          <w:lang w:val="en-GB"/>
        </w:rPr>
        <w:t xml:space="preserve"> secret.</w:t>
      </w:r>
    </w:p>
    <w:p w:rsidR="00C20ACC" w:rsidRDefault="00C20ACC" w:rsidP="00C20ACC">
      <w:pPr>
        <w:jc w:val="both"/>
        <w:rPr>
          <w:lang w:val="en-GB"/>
        </w:rPr>
      </w:pPr>
    </w:p>
    <w:p w:rsidR="00C20ACC" w:rsidRDefault="008E1AB2" w:rsidP="00C20ACC">
      <w:pPr>
        <w:jc w:val="both"/>
        <w:rPr>
          <w:lang w:val="en-GB"/>
        </w:rPr>
      </w:pPr>
      <w:r>
        <w:rPr>
          <w:lang w:val="en-GB"/>
        </w:rPr>
        <w:t>First, t</w:t>
      </w:r>
      <w:r w:rsidR="00C20ACC" w:rsidRPr="00C20ACC">
        <w:rPr>
          <w:lang w:val="en-GB"/>
        </w:rPr>
        <w:t xml:space="preserve">he Protocol recalls that, in addition to the measures contained therein, the general duties deriving from the professional legal status of those involved in civil-commercial proceedings, such as lawyers, </w:t>
      </w:r>
      <w:r w:rsidR="00257BC8">
        <w:rPr>
          <w:lang w:val="en-GB"/>
        </w:rPr>
        <w:t>court attorneys</w:t>
      </w:r>
      <w:r w:rsidR="00C20ACC" w:rsidRPr="00C20ACC">
        <w:rPr>
          <w:lang w:val="en-GB"/>
        </w:rPr>
        <w:t xml:space="preserve"> or auditors, should not be forgotten.</w:t>
      </w:r>
      <w:r w:rsidR="00257BC8">
        <w:rPr>
          <w:lang w:val="en-GB"/>
        </w:rPr>
        <w:t xml:space="preserve"> </w:t>
      </w:r>
      <w:r w:rsidR="00257BC8" w:rsidRPr="00257BC8">
        <w:rPr>
          <w:lang w:val="en-GB"/>
        </w:rPr>
        <w:t xml:space="preserve">In addition to </w:t>
      </w:r>
      <w:r w:rsidR="00257BC8">
        <w:rPr>
          <w:lang w:val="en-GB"/>
        </w:rPr>
        <w:t>these</w:t>
      </w:r>
      <w:r w:rsidR="00257BC8" w:rsidRPr="00257BC8">
        <w:rPr>
          <w:lang w:val="en-GB"/>
        </w:rPr>
        <w:t xml:space="preserve"> general duties, the specific protection of a secret requires or may require in any judicial procedure the adoption of certain measures.</w:t>
      </w:r>
    </w:p>
    <w:p w:rsidR="00C20ACC" w:rsidRDefault="00C20ACC" w:rsidP="00C20ACC">
      <w:pPr>
        <w:jc w:val="both"/>
        <w:rPr>
          <w:lang w:val="en-GB"/>
        </w:rPr>
      </w:pPr>
    </w:p>
    <w:p w:rsidR="00257BC8" w:rsidRDefault="00257BC8" w:rsidP="00C20ACC">
      <w:pPr>
        <w:jc w:val="both"/>
        <w:rPr>
          <w:lang w:val="en-GB"/>
        </w:rPr>
      </w:pPr>
      <w:r>
        <w:rPr>
          <w:lang w:val="en-GB"/>
        </w:rPr>
        <w:t>Thus, it is established</w:t>
      </w:r>
      <w:r w:rsidR="00C20ACC">
        <w:rPr>
          <w:lang w:val="en-GB"/>
        </w:rPr>
        <w:t xml:space="preserve"> that either the parties or a third intervening party owner of the trade secret are entitled to request a declaration of the secret nature of the information and any necessary measures to ensure the protection of the trade secret.</w:t>
      </w:r>
      <w:r>
        <w:rPr>
          <w:lang w:val="en-GB"/>
        </w:rPr>
        <w:t xml:space="preserve"> This requests can be done by the plaintiff in the complaint, preliminary injunction request, preliminary proceedings, verification of facts </w:t>
      </w:r>
      <w:r w:rsidR="008E1AB2">
        <w:rPr>
          <w:lang w:val="en-GB"/>
        </w:rPr>
        <w:t>request</w:t>
      </w:r>
      <w:r>
        <w:rPr>
          <w:lang w:val="en-GB"/>
        </w:rPr>
        <w:t xml:space="preserve">, </w:t>
      </w:r>
      <w:r w:rsidR="0064104A">
        <w:rPr>
          <w:lang w:val="en-GB"/>
        </w:rPr>
        <w:t>protective</w:t>
      </w:r>
      <w:r>
        <w:rPr>
          <w:lang w:val="en-GB"/>
        </w:rPr>
        <w:t xml:space="preserve"> letter or any other brief that initiate a judicial procedure. </w:t>
      </w:r>
    </w:p>
    <w:p w:rsidR="00257BC8" w:rsidRDefault="00257BC8" w:rsidP="00C20ACC">
      <w:pPr>
        <w:jc w:val="both"/>
        <w:rPr>
          <w:lang w:val="en-GB"/>
        </w:rPr>
      </w:pPr>
      <w:r w:rsidRPr="00257BC8">
        <w:rPr>
          <w:lang w:val="en-GB"/>
        </w:rPr>
        <w:lastRenderedPageBreak/>
        <w:t xml:space="preserve">The defendant may also request in </w:t>
      </w:r>
      <w:r>
        <w:rPr>
          <w:lang w:val="en-GB"/>
        </w:rPr>
        <w:t>its writ of defence</w:t>
      </w:r>
      <w:r w:rsidRPr="00257BC8">
        <w:rPr>
          <w:lang w:val="en-GB"/>
        </w:rPr>
        <w:t xml:space="preserve"> or at any other time in the process suitable for proposing or providing evidence that certain information contained in the documents that are provided or proposed as evidence constitutes </w:t>
      </w:r>
      <w:r>
        <w:rPr>
          <w:lang w:val="en-GB"/>
        </w:rPr>
        <w:t>trade</w:t>
      </w:r>
      <w:r w:rsidRPr="00257BC8">
        <w:rPr>
          <w:lang w:val="en-GB"/>
        </w:rPr>
        <w:t xml:space="preserve"> secrets and </w:t>
      </w:r>
      <w:r>
        <w:rPr>
          <w:lang w:val="en-GB"/>
        </w:rPr>
        <w:t xml:space="preserve">it can </w:t>
      </w:r>
      <w:r w:rsidRPr="00257BC8">
        <w:rPr>
          <w:lang w:val="en-GB"/>
        </w:rPr>
        <w:t xml:space="preserve">request that certain </w:t>
      </w:r>
      <w:r w:rsidR="0064104A">
        <w:rPr>
          <w:lang w:val="en-GB"/>
        </w:rPr>
        <w:t>protection</w:t>
      </w:r>
      <w:r w:rsidRPr="00257BC8">
        <w:rPr>
          <w:lang w:val="en-GB"/>
        </w:rPr>
        <w:t xml:space="preserve"> measures be taken.</w:t>
      </w:r>
      <w:r w:rsidRPr="00257BC8">
        <w:t xml:space="preserve"> </w:t>
      </w:r>
    </w:p>
    <w:p w:rsidR="00257BC8" w:rsidRDefault="00257BC8" w:rsidP="00C20ACC">
      <w:pPr>
        <w:jc w:val="both"/>
        <w:rPr>
          <w:lang w:val="en-GB"/>
        </w:rPr>
      </w:pPr>
    </w:p>
    <w:p w:rsidR="00C20ACC" w:rsidRDefault="00C20ACC" w:rsidP="00C20ACC">
      <w:pPr>
        <w:jc w:val="both"/>
        <w:rPr>
          <w:lang w:val="en-GB"/>
        </w:rPr>
      </w:pPr>
      <w:r>
        <w:rPr>
          <w:lang w:val="en-GB"/>
        </w:rPr>
        <w:t xml:space="preserve"> In order to ensure the protection of trade secrets, the Courts will hear the parties’ arguments (either orally or in written) on the confidential nature of the information, prior to declare the secrecy of the same. </w:t>
      </w:r>
    </w:p>
    <w:p w:rsidR="00C20ACC" w:rsidRDefault="00C20ACC" w:rsidP="00C20ACC">
      <w:pPr>
        <w:jc w:val="both"/>
        <w:rPr>
          <w:lang w:val="en-GB"/>
        </w:rPr>
      </w:pPr>
    </w:p>
    <w:p w:rsidR="00257BC8" w:rsidRDefault="00257BC8" w:rsidP="00257BC8">
      <w:pPr>
        <w:jc w:val="both"/>
        <w:rPr>
          <w:lang w:val="en-GB"/>
        </w:rPr>
      </w:pPr>
      <w:r w:rsidRPr="00257BC8">
        <w:rPr>
          <w:lang w:val="en-GB"/>
        </w:rPr>
        <w:t xml:space="preserve">The </w:t>
      </w:r>
      <w:r>
        <w:rPr>
          <w:lang w:val="en-GB"/>
        </w:rPr>
        <w:t>Court decision on the confidential nature of the information</w:t>
      </w:r>
      <w:r w:rsidRPr="00257BC8">
        <w:rPr>
          <w:lang w:val="en-GB"/>
        </w:rPr>
        <w:t xml:space="preserve"> must necessarily refer to the following three aspects:</w:t>
      </w:r>
    </w:p>
    <w:p w:rsidR="00257BC8" w:rsidRPr="00257BC8" w:rsidRDefault="00257BC8" w:rsidP="00257BC8">
      <w:pPr>
        <w:jc w:val="both"/>
        <w:rPr>
          <w:lang w:val="en-GB"/>
        </w:rPr>
      </w:pPr>
    </w:p>
    <w:p w:rsidR="00257BC8" w:rsidRPr="008E1AB2" w:rsidRDefault="00257BC8" w:rsidP="008E1AB2">
      <w:pPr>
        <w:pStyle w:val="Lijstalinea"/>
        <w:numPr>
          <w:ilvl w:val="0"/>
          <w:numId w:val="7"/>
        </w:numPr>
        <w:jc w:val="both"/>
        <w:rPr>
          <w:lang w:val="en-GB"/>
        </w:rPr>
      </w:pPr>
      <w:r w:rsidRPr="008E1AB2">
        <w:rPr>
          <w:lang w:val="en-GB"/>
        </w:rPr>
        <w:t>Specification of the information with respect to which the measures are to be adopted. It is very important to delimit which information is considered as business secret, as well as where the information is located (document, file, digital file...).</w:t>
      </w:r>
    </w:p>
    <w:p w:rsidR="00257BC8" w:rsidRPr="008E1AB2" w:rsidRDefault="00257BC8" w:rsidP="008E1AB2">
      <w:pPr>
        <w:pStyle w:val="Lijstalinea"/>
        <w:numPr>
          <w:ilvl w:val="0"/>
          <w:numId w:val="7"/>
        </w:numPr>
        <w:jc w:val="both"/>
        <w:rPr>
          <w:lang w:val="en-GB"/>
        </w:rPr>
      </w:pPr>
      <w:r w:rsidRPr="008E1AB2">
        <w:rPr>
          <w:lang w:val="en-GB"/>
        </w:rPr>
        <w:t xml:space="preserve">Grounds for its confidential nature (or business secret). Expression of the principles that inform </w:t>
      </w:r>
      <w:r w:rsidR="00670278">
        <w:rPr>
          <w:lang w:val="en-GB"/>
        </w:rPr>
        <w:t>its decision</w:t>
      </w:r>
      <w:r w:rsidRPr="008E1AB2">
        <w:rPr>
          <w:lang w:val="en-GB"/>
        </w:rPr>
        <w:t>.</w:t>
      </w:r>
    </w:p>
    <w:p w:rsidR="00257BC8" w:rsidRPr="008E1AB2" w:rsidRDefault="00257BC8" w:rsidP="008E1AB2">
      <w:pPr>
        <w:pStyle w:val="Lijstalinea"/>
        <w:numPr>
          <w:ilvl w:val="0"/>
          <w:numId w:val="7"/>
        </w:numPr>
        <w:jc w:val="both"/>
        <w:rPr>
          <w:lang w:val="en-GB"/>
        </w:rPr>
      </w:pPr>
      <w:r w:rsidRPr="008E1AB2">
        <w:rPr>
          <w:lang w:val="en-GB"/>
        </w:rPr>
        <w:t xml:space="preserve">Specification of </w:t>
      </w:r>
      <w:r w:rsidR="00670278">
        <w:rPr>
          <w:lang w:val="en-GB"/>
        </w:rPr>
        <w:t xml:space="preserve">the </w:t>
      </w:r>
      <w:r w:rsidR="0064104A">
        <w:rPr>
          <w:lang w:val="en-GB"/>
        </w:rPr>
        <w:t>protection</w:t>
      </w:r>
      <w:r w:rsidRPr="008E1AB2">
        <w:rPr>
          <w:lang w:val="en-GB"/>
        </w:rPr>
        <w:t xml:space="preserve"> measures.</w:t>
      </w:r>
    </w:p>
    <w:p w:rsidR="00257BC8" w:rsidRDefault="00257BC8" w:rsidP="00C20ACC">
      <w:pPr>
        <w:jc w:val="both"/>
        <w:rPr>
          <w:lang w:val="en-GB"/>
        </w:rPr>
      </w:pPr>
    </w:p>
    <w:p w:rsidR="00257BC8" w:rsidRDefault="00C20ACC" w:rsidP="00C20ACC">
      <w:pPr>
        <w:jc w:val="both"/>
        <w:rPr>
          <w:lang w:val="en-GB"/>
        </w:rPr>
      </w:pPr>
      <w:r>
        <w:rPr>
          <w:lang w:val="en-GB"/>
        </w:rPr>
        <w:t>Once the Court establishe</w:t>
      </w:r>
      <w:r w:rsidR="0064104A">
        <w:rPr>
          <w:lang w:val="en-GB"/>
        </w:rPr>
        <w:t>s</w:t>
      </w:r>
      <w:r>
        <w:rPr>
          <w:lang w:val="en-GB"/>
        </w:rPr>
        <w:t xml:space="preserve"> the confidential treatment of the information, it will establish </w:t>
      </w:r>
      <w:r w:rsidR="0064104A">
        <w:rPr>
          <w:lang w:val="en-GB"/>
        </w:rPr>
        <w:t>the protection</w:t>
      </w:r>
      <w:r>
        <w:rPr>
          <w:lang w:val="en-GB"/>
        </w:rPr>
        <w:t xml:space="preserve"> measures which should have been suggested by the requesting party. </w:t>
      </w:r>
      <w:r w:rsidR="00257BC8">
        <w:rPr>
          <w:lang w:val="en-GB"/>
        </w:rPr>
        <w:t xml:space="preserve">The </w:t>
      </w:r>
      <w:r w:rsidRPr="00FF16D5">
        <w:rPr>
          <w:lang w:val="en-GB"/>
        </w:rPr>
        <w:t>measures must be necessary to fulfil the purpose for which they are intended, adequate and proportionate.</w:t>
      </w:r>
      <w:r>
        <w:rPr>
          <w:lang w:val="en-GB"/>
        </w:rPr>
        <w:t xml:space="preserve"> </w:t>
      </w:r>
    </w:p>
    <w:p w:rsidR="00257BC8" w:rsidRDefault="00257BC8" w:rsidP="00C20ACC">
      <w:pPr>
        <w:jc w:val="both"/>
        <w:rPr>
          <w:lang w:val="en-GB"/>
        </w:rPr>
      </w:pPr>
    </w:p>
    <w:p w:rsidR="00C20ACC" w:rsidRDefault="00C20ACC" w:rsidP="00C20ACC">
      <w:pPr>
        <w:jc w:val="both"/>
        <w:rPr>
          <w:lang w:val="en-GB"/>
        </w:rPr>
      </w:pPr>
      <w:r>
        <w:rPr>
          <w:lang w:val="en-GB"/>
        </w:rPr>
        <w:t xml:space="preserve">Among these measures, the following can be listed: </w:t>
      </w:r>
    </w:p>
    <w:p w:rsidR="00C20ACC" w:rsidRDefault="00C20ACC" w:rsidP="00C20ACC">
      <w:pPr>
        <w:jc w:val="both"/>
        <w:rPr>
          <w:lang w:val="en-GB"/>
        </w:rPr>
      </w:pPr>
    </w:p>
    <w:p w:rsidR="00C20ACC" w:rsidRDefault="00C20ACC" w:rsidP="00C20ACC">
      <w:pPr>
        <w:pStyle w:val="Lijstalinea"/>
        <w:numPr>
          <w:ilvl w:val="0"/>
          <w:numId w:val="6"/>
        </w:numPr>
        <w:jc w:val="both"/>
        <w:rPr>
          <w:lang w:val="en-GB"/>
        </w:rPr>
      </w:pPr>
      <w:r>
        <w:rPr>
          <w:lang w:val="en-GB"/>
        </w:rPr>
        <w:t>Temporary measures - T</w:t>
      </w:r>
      <w:r w:rsidRPr="00FF16D5">
        <w:rPr>
          <w:lang w:val="en-GB"/>
        </w:rPr>
        <w:t xml:space="preserve">he party concerned may request that certain </w:t>
      </w:r>
      <w:r>
        <w:rPr>
          <w:lang w:val="en-GB"/>
        </w:rPr>
        <w:t xml:space="preserve">temporary </w:t>
      </w:r>
      <w:r w:rsidRPr="00FF16D5">
        <w:rPr>
          <w:lang w:val="en-GB"/>
        </w:rPr>
        <w:t xml:space="preserve">measures of protection be taken until such time as the Court decides on the secrecy of the information and on the final </w:t>
      </w:r>
      <w:r w:rsidR="0064104A">
        <w:rPr>
          <w:lang w:val="en-GB"/>
        </w:rPr>
        <w:t>protection</w:t>
      </w:r>
      <w:r w:rsidRPr="00FF16D5">
        <w:rPr>
          <w:lang w:val="en-GB"/>
        </w:rPr>
        <w:t xml:space="preserve"> measures.</w:t>
      </w:r>
    </w:p>
    <w:p w:rsidR="00C20ACC" w:rsidRDefault="00C20ACC" w:rsidP="00C20ACC">
      <w:pPr>
        <w:pStyle w:val="Lijstalinea"/>
        <w:numPr>
          <w:ilvl w:val="0"/>
          <w:numId w:val="6"/>
        </w:numPr>
        <w:jc w:val="both"/>
        <w:rPr>
          <w:lang w:val="en-GB"/>
        </w:rPr>
      </w:pPr>
      <w:r w:rsidRPr="00BF55BF">
        <w:rPr>
          <w:lang w:val="en-GB"/>
        </w:rPr>
        <w:t xml:space="preserve">Lockable custody in the </w:t>
      </w:r>
      <w:r>
        <w:rPr>
          <w:lang w:val="en-GB"/>
        </w:rPr>
        <w:t>C</w:t>
      </w:r>
      <w:r w:rsidRPr="00BF55BF">
        <w:rPr>
          <w:lang w:val="en-GB"/>
        </w:rPr>
        <w:t>ourthouse</w:t>
      </w:r>
      <w:r>
        <w:rPr>
          <w:lang w:val="en-GB"/>
        </w:rPr>
        <w:t xml:space="preserve"> if the documents are filed in physical form.</w:t>
      </w:r>
    </w:p>
    <w:p w:rsidR="00C20ACC" w:rsidRDefault="00C20ACC" w:rsidP="00C20ACC">
      <w:pPr>
        <w:pStyle w:val="Lijstalinea"/>
        <w:numPr>
          <w:ilvl w:val="0"/>
          <w:numId w:val="6"/>
        </w:numPr>
        <w:jc w:val="both"/>
        <w:rPr>
          <w:lang w:val="en-GB"/>
        </w:rPr>
      </w:pPr>
      <w:r>
        <w:rPr>
          <w:lang w:val="en-GB"/>
        </w:rPr>
        <w:t xml:space="preserve">Digital security measures – The party concerned may request that the documents containing the secret information will not be digitally transferred to the counterparty. In addition, the </w:t>
      </w:r>
      <w:r w:rsidRPr="00BF55BF">
        <w:rPr>
          <w:lang w:val="en-GB"/>
        </w:rPr>
        <w:t>procedural management system of the Administration of Justice</w:t>
      </w:r>
      <w:r>
        <w:rPr>
          <w:lang w:val="en-GB"/>
        </w:rPr>
        <w:t xml:space="preserve"> shall establish security measures to avoid the disclosure of the information declared secret. </w:t>
      </w:r>
    </w:p>
    <w:p w:rsidR="00C20ACC" w:rsidRDefault="00C20ACC" w:rsidP="00C20ACC">
      <w:pPr>
        <w:pStyle w:val="Lijstalinea"/>
        <w:numPr>
          <w:ilvl w:val="0"/>
          <w:numId w:val="6"/>
        </w:numPr>
        <w:jc w:val="both"/>
        <w:rPr>
          <w:lang w:val="en-GB"/>
        </w:rPr>
      </w:pPr>
      <w:r w:rsidRPr="00BF55BF">
        <w:rPr>
          <w:lang w:val="en-GB"/>
        </w:rPr>
        <w:t>Restrictions on access to a limited number of people</w:t>
      </w:r>
      <w:r>
        <w:rPr>
          <w:lang w:val="en-GB"/>
        </w:rPr>
        <w:t xml:space="preserve"> -</w:t>
      </w:r>
      <w:r w:rsidRPr="00BF55BF">
        <w:rPr>
          <w:lang w:val="en-GB"/>
        </w:rPr>
        <w:t xml:space="preserve"> Confidentiality Circles (CC)</w:t>
      </w:r>
      <w:r>
        <w:rPr>
          <w:lang w:val="en-GB"/>
        </w:rPr>
        <w:t>. T</w:t>
      </w:r>
      <w:r w:rsidRPr="00BF55BF">
        <w:rPr>
          <w:lang w:val="en-GB"/>
        </w:rPr>
        <w:t xml:space="preserve">he judicial decision agreeing this protection measure </w:t>
      </w:r>
      <w:r>
        <w:rPr>
          <w:lang w:val="en-GB"/>
        </w:rPr>
        <w:t>will identify</w:t>
      </w:r>
      <w:r w:rsidRPr="00BF55BF">
        <w:rPr>
          <w:lang w:val="en-GB"/>
        </w:rPr>
        <w:t xml:space="preserve"> in detail, with name, surname, function and relationship to the parties, the members who will make up the circle of confidentiality.</w:t>
      </w:r>
    </w:p>
    <w:p w:rsidR="00C20ACC" w:rsidRDefault="00C20ACC" w:rsidP="00C20ACC">
      <w:pPr>
        <w:pStyle w:val="Lijstalinea"/>
        <w:numPr>
          <w:ilvl w:val="0"/>
          <w:numId w:val="6"/>
        </w:numPr>
        <w:jc w:val="both"/>
        <w:rPr>
          <w:lang w:val="en-GB"/>
        </w:rPr>
      </w:pPr>
      <w:r w:rsidRPr="00BF55BF">
        <w:rPr>
          <w:lang w:val="en-GB"/>
        </w:rPr>
        <w:lastRenderedPageBreak/>
        <w:t>Confidential and non-confidential versions of the information provided by the parties and of the judicial decisions.</w:t>
      </w:r>
    </w:p>
    <w:p w:rsidR="00C20ACC" w:rsidRDefault="00C20ACC" w:rsidP="00C20ACC">
      <w:pPr>
        <w:pStyle w:val="Lijstalinea"/>
        <w:numPr>
          <w:ilvl w:val="0"/>
          <w:numId w:val="6"/>
        </w:numPr>
        <w:jc w:val="both"/>
        <w:rPr>
          <w:lang w:val="en-GB"/>
        </w:rPr>
      </w:pPr>
      <w:r w:rsidRPr="00BF55BF">
        <w:rPr>
          <w:lang w:val="en-GB"/>
        </w:rPr>
        <w:t>Publicity of oral hearings</w:t>
      </w:r>
      <w:r>
        <w:rPr>
          <w:lang w:val="en-GB"/>
        </w:rPr>
        <w:t xml:space="preserve"> - T</w:t>
      </w:r>
      <w:r w:rsidRPr="00BF55BF">
        <w:rPr>
          <w:lang w:val="en-GB"/>
        </w:rPr>
        <w:t>he questioning of witnesses, parties or experts regarding information declared secret or confidential should be held in camera.</w:t>
      </w:r>
    </w:p>
    <w:p w:rsidR="00C20ACC" w:rsidRDefault="00C20ACC" w:rsidP="00C20ACC">
      <w:pPr>
        <w:jc w:val="both"/>
        <w:rPr>
          <w:lang w:val="en-GB"/>
        </w:rPr>
      </w:pPr>
    </w:p>
    <w:p w:rsidR="00BB1B24" w:rsidRDefault="00257BC8" w:rsidP="00257BC8">
      <w:pPr>
        <w:jc w:val="both"/>
        <w:rPr>
          <w:lang w:val="en-GB"/>
        </w:rPr>
      </w:pPr>
      <w:r>
        <w:rPr>
          <w:lang w:val="en-GB"/>
        </w:rPr>
        <w:t>When granting the measures, the Courts will take into</w:t>
      </w:r>
      <w:r w:rsidRPr="00257BC8">
        <w:rPr>
          <w:lang w:val="en-GB"/>
        </w:rPr>
        <w:t xml:space="preserve"> account the legitimate interests of the parties and third parties as well as any harm that may be caused to them, and shall respect the right of the parties to effective judicial protection and to an impartial judge.</w:t>
      </w:r>
      <w:r w:rsidR="00461748">
        <w:rPr>
          <w:lang w:val="en-GB"/>
        </w:rPr>
        <w:t xml:space="preserve"> </w:t>
      </w:r>
      <w:r w:rsidRPr="00257BC8">
        <w:rPr>
          <w:lang w:val="en-GB"/>
        </w:rPr>
        <w:t>The</w:t>
      </w:r>
      <w:r w:rsidR="00461748">
        <w:rPr>
          <w:lang w:val="en-GB"/>
        </w:rPr>
        <w:t xml:space="preserve"> measures</w:t>
      </w:r>
      <w:r w:rsidRPr="00257BC8">
        <w:rPr>
          <w:lang w:val="en-GB"/>
        </w:rPr>
        <w:t xml:space="preserve"> must be concrete and related to the specific information to be protected.</w:t>
      </w:r>
    </w:p>
    <w:p w:rsidR="00257BC8" w:rsidRDefault="00257BC8" w:rsidP="00257BC8">
      <w:pPr>
        <w:jc w:val="both"/>
        <w:rPr>
          <w:lang w:val="en-GB"/>
        </w:rPr>
      </w:pPr>
    </w:p>
    <w:p w:rsidR="00257BC8" w:rsidRPr="00257BC8" w:rsidRDefault="00257BC8" w:rsidP="00257BC8">
      <w:pPr>
        <w:jc w:val="both"/>
        <w:rPr>
          <w:lang w:val="en-GB"/>
        </w:rPr>
      </w:pPr>
    </w:p>
    <w:p w:rsidR="00257BC8" w:rsidRPr="00257BC8" w:rsidRDefault="00461748">
      <w:pPr>
        <w:jc w:val="both"/>
        <w:rPr>
          <w:lang w:val="en-GB"/>
        </w:rPr>
      </w:pPr>
      <w:r w:rsidRPr="004B4075">
        <w:rPr>
          <w:noProof/>
          <w:color w:val="000000"/>
          <w:lang w:val="nl-NL" w:eastAsia="nl-NL"/>
        </w:rPr>
        <w:drawing>
          <wp:inline distT="0" distB="0" distL="0" distR="0" wp14:anchorId="393F1197" wp14:editId="4392B21C">
            <wp:extent cx="1260000" cy="492151"/>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RM_LOGO_RGB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492151"/>
                    </a:xfrm>
                    <a:prstGeom prst="rect">
                      <a:avLst/>
                    </a:prstGeom>
                  </pic:spPr>
                </pic:pic>
              </a:graphicData>
            </a:graphic>
          </wp:inline>
        </w:drawing>
      </w:r>
    </w:p>
    <w:sectPr w:rsidR="00257BC8" w:rsidRPr="00257BC8" w:rsidSect="00F06DAB">
      <w:head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23" w:rsidRDefault="006F7B23" w:rsidP="00C20ACC">
      <w:pPr>
        <w:spacing w:line="240" w:lineRule="auto"/>
      </w:pPr>
      <w:r>
        <w:separator/>
      </w:r>
    </w:p>
  </w:endnote>
  <w:endnote w:type="continuationSeparator" w:id="0">
    <w:p w:rsidR="006F7B23" w:rsidRDefault="006F7B23" w:rsidP="00C20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23" w:rsidRDefault="006F7B23" w:rsidP="00C20ACC">
      <w:pPr>
        <w:spacing w:line="240" w:lineRule="auto"/>
      </w:pPr>
      <w:r>
        <w:separator/>
      </w:r>
    </w:p>
  </w:footnote>
  <w:footnote w:type="continuationSeparator" w:id="0">
    <w:p w:rsidR="006F7B23" w:rsidRDefault="006F7B23" w:rsidP="00C20A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CC" w:rsidRDefault="00C20ACC" w:rsidP="00C20ACC">
    <w:pPr>
      <w:pStyle w:val="Koptekst"/>
    </w:pPr>
    <w:r>
      <w:rPr>
        <w:rFonts w:eastAsia="Times New Roman" w:cs="Times New Roman"/>
        <w:noProof/>
        <w:lang w:val="nl-NL" w:eastAsia="nl-NL"/>
      </w:rPr>
      <w:drawing>
        <wp:inline distT="0" distB="0" distL="0" distR="0" wp14:anchorId="6DA27CD9" wp14:editId="0D9C7C6F">
          <wp:extent cx="1647825" cy="647065"/>
          <wp:effectExtent l="0" t="0" r="952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7065"/>
                  </a:xfrm>
                  <a:prstGeom prst="rect">
                    <a:avLst/>
                  </a:prstGeom>
                  <a:noFill/>
                  <a:ln>
                    <a:noFill/>
                  </a:ln>
                </pic:spPr>
              </pic:pic>
            </a:graphicData>
          </a:graphic>
        </wp:inline>
      </w:drawing>
    </w:r>
  </w:p>
  <w:p w:rsidR="00C20ACC" w:rsidRDefault="00C20ACC" w:rsidP="00C20ACC">
    <w:pPr>
      <w:pStyle w:val="Koptekst"/>
    </w:pPr>
  </w:p>
  <w:p w:rsidR="00C20ACC" w:rsidRPr="00C20ACC" w:rsidRDefault="00C20ACC" w:rsidP="00C20A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63E"/>
    <w:multiLevelType w:val="multilevel"/>
    <w:tmpl w:val="643CE5B0"/>
    <w:lvl w:ilvl="0">
      <w:start w:val="1"/>
      <w:numFmt w:val="upperRoman"/>
      <w:pStyle w:val="Kop1"/>
      <w:lvlText w:val="%1."/>
      <w:lvlJc w:val="left"/>
      <w:pPr>
        <w:ind w:left="737" w:hanging="737"/>
      </w:pPr>
      <w:rPr>
        <w:rFonts w:ascii="Arial Bold" w:hAnsi="Arial Bold" w:hint="default"/>
        <w:b/>
        <w:i w:val="0"/>
        <w:caps/>
        <w:sz w:val="22"/>
        <w:u w:val="none"/>
      </w:rPr>
    </w:lvl>
    <w:lvl w:ilvl="1">
      <w:start w:val="1"/>
      <w:numFmt w:val="upperLetter"/>
      <w:pStyle w:val="Kop2"/>
      <w:lvlText w:val="%1.%2."/>
      <w:lvlJc w:val="left"/>
      <w:pPr>
        <w:ind w:left="737" w:hanging="737"/>
      </w:pPr>
      <w:rPr>
        <w:rFonts w:ascii="Arial" w:hAnsi="Arial" w:hint="default"/>
        <w:b/>
        <w:i w:val="0"/>
        <w:color w:val="000000" w:themeColor="text1"/>
        <w:sz w:val="22"/>
        <w:u w:val="none"/>
      </w:rPr>
    </w:lvl>
    <w:lvl w:ilvl="2">
      <w:start w:val="1"/>
      <w:numFmt w:val="decimal"/>
      <w:pStyle w:val="Kop3"/>
      <w:lvlText w:val="%1.%2.%3."/>
      <w:lvlJc w:val="left"/>
      <w:pPr>
        <w:ind w:left="879"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5103"/>
        </w:tabs>
        <w:ind w:left="851" w:hanging="851"/>
      </w:pPr>
      <w:rPr>
        <w:rFonts w:ascii="Arial" w:hAnsi="Arial" w:hint="default"/>
        <w:b w:val="0"/>
        <w:i w:val="0"/>
        <w:sz w:val="22"/>
      </w:rPr>
    </w:lvl>
    <w:lvl w:ilvl="4">
      <w:start w:val="1"/>
      <w:numFmt w:val="lowerLetter"/>
      <w:pStyle w:val="Kop5"/>
      <w:lvlText w:val="(%5)"/>
      <w:lvlJc w:val="left"/>
      <w:pPr>
        <w:ind w:left="1474" w:hanging="340"/>
      </w:pPr>
      <w:rPr>
        <w:rFonts w:ascii="Arial" w:hAnsi="Arial" w:hint="default"/>
        <w:b w:val="0"/>
        <w:i w:val="0"/>
        <w:sz w:val="22"/>
      </w:rPr>
    </w:lvl>
    <w:lvl w:ilvl="5">
      <w:start w:val="1"/>
      <w:numFmt w:val="lowerRoman"/>
      <w:lvlText w:val="(%6)"/>
      <w:lvlJc w:val="left"/>
      <w:pPr>
        <w:ind w:left="2160" w:hanging="360"/>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FF256C7"/>
    <w:multiLevelType w:val="hybridMultilevel"/>
    <w:tmpl w:val="C8ACED20"/>
    <w:lvl w:ilvl="0" w:tplc="74EACFF8">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08B5D55"/>
    <w:multiLevelType w:val="hybridMultilevel"/>
    <w:tmpl w:val="59D84E34"/>
    <w:lvl w:ilvl="0" w:tplc="74EACF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FCE4820"/>
    <w:multiLevelType w:val="hybridMultilevel"/>
    <w:tmpl w:val="DB304E48"/>
    <w:lvl w:ilvl="0" w:tplc="74EACF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9247C7A"/>
    <w:multiLevelType w:val="hybridMultilevel"/>
    <w:tmpl w:val="70DE9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F380B63"/>
    <w:multiLevelType w:val="hybridMultilevel"/>
    <w:tmpl w:val="2072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CC"/>
    <w:rsid w:val="002109E3"/>
    <w:rsid w:val="00257BC8"/>
    <w:rsid w:val="0026469F"/>
    <w:rsid w:val="002E3F41"/>
    <w:rsid w:val="00461748"/>
    <w:rsid w:val="00522972"/>
    <w:rsid w:val="005D450F"/>
    <w:rsid w:val="0064104A"/>
    <w:rsid w:val="00670278"/>
    <w:rsid w:val="006F7B23"/>
    <w:rsid w:val="00704AB4"/>
    <w:rsid w:val="007A6627"/>
    <w:rsid w:val="007F21FA"/>
    <w:rsid w:val="00843383"/>
    <w:rsid w:val="008E1AB2"/>
    <w:rsid w:val="00917E16"/>
    <w:rsid w:val="009B5B9B"/>
    <w:rsid w:val="00A25C9A"/>
    <w:rsid w:val="00A37193"/>
    <w:rsid w:val="00AA0831"/>
    <w:rsid w:val="00B53D0F"/>
    <w:rsid w:val="00B90310"/>
    <w:rsid w:val="00BB1B24"/>
    <w:rsid w:val="00C20ACC"/>
    <w:rsid w:val="00C7553D"/>
    <w:rsid w:val="00D165AF"/>
    <w:rsid w:val="00D94B93"/>
    <w:rsid w:val="00DB5BDF"/>
    <w:rsid w:val="00E00E84"/>
    <w:rsid w:val="00E74311"/>
    <w:rsid w:val="00F06DAB"/>
    <w:rsid w:val="00F13D77"/>
    <w:rsid w:val="00F8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0ACC"/>
  </w:style>
  <w:style w:type="paragraph" w:styleId="Kop1">
    <w:name w:val="heading 1"/>
    <w:basedOn w:val="Standaard"/>
    <w:next w:val="Standaard"/>
    <w:link w:val="Kop1Char"/>
    <w:uiPriority w:val="9"/>
    <w:qFormat/>
    <w:rsid w:val="00917E16"/>
    <w:pPr>
      <w:keepNext/>
      <w:keepLines/>
      <w:numPr>
        <w:numId w:val="5"/>
      </w:numPr>
      <w:ind w:left="851" w:hanging="851"/>
      <w:outlineLvl w:val="0"/>
    </w:pPr>
    <w:rPr>
      <w:rFonts w:ascii="Arial Bold" w:eastAsiaTheme="majorEastAsia" w:hAnsi="Arial Bold" w:cstheme="majorBidi"/>
      <w:b/>
      <w:bCs/>
      <w:caps/>
      <w:color w:val="000000" w:themeColor="text1"/>
      <w:szCs w:val="28"/>
      <w:u w:val="single"/>
    </w:rPr>
  </w:style>
  <w:style w:type="paragraph" w:styleId="Kop2">
    <w:name w:val="heading 2"/>
    <w:basedOn w:val="Standaard"/>
    <w:next w:val="Standaard"/>
    <w:link w:val="Kop2Char"/>
    <w:uiPriority w:val="9"/>
    <w:unhideWhenUsed/>
    <w:qFormat/>
    <w:rsid w:val="00917E16"/>
    <w:pPr>
      <w:keepNext/>
      <w:keepLines/>
      <w:numPr>
        <w:ilvl w:val="1"/>
        <w:numId w:val="5"/>
      </w:numPr>
      <w:ind w:left="851" w:hanging="851"/>
      <w:outlineLvl w:val="1"/>
    </w:pPr>
    <w:rPr>
      <w:rFonts w:ascii="Arial Bold" w:eastAsiaTheme="majorEastAsia" w:hAnsi="Arial Bold" w:cstheme="majorBidi"/>
      <w:b/>
      <w:bCs/>
      <w:smallCaps/>
      <w:color w:val="000000" w:themeColor="text1"/>
      <w:szCs w:val="26"/>
      <w:u w:val="single"/>
    </w:rPr>
  </w:style>
  <w:style w:type="paragraph" w:styleId="Kop3">
    <w:name w:val="heading 3"/>
    <w:basedOn w:val="Standaard"/>
    <w:next w:val="Standaard"/>
    <w:link w:val="Kop3Char"/>
    <w:uiPriority w:val="9"/>
    <w:unhideWhenUsed/>
    <w:qFormat/>
    <w:rsid w:val="00BB1B24"/>
    <w:pPr>
      <w:keepNext/>
      <w:keepLines/>
      <w:numPr>
        <w:ilvl w:val="2"/>
        <w:numId w:val="5"/>
      </w:numPr>
      <w:ind w:left="851" w:hanging="851"/>
      <w:outlineLvl w:val="2"/>
    </w:pPr>
    <w:rPr>
      <w:rFonts w:ascii="Arial Bold" w:eastAsiaTheme="majorEastAsia" w:hAnsi="Arial Bold" w:cstheme="majorBidi"/>
      <w:b/>
      <w:bCs/>
      <w:color w:val="000000" w:themeColor="text1"/>
      <w:u w:val="single"/>
    </w:rPr>
  </w:style>
  <w:style w:type="paragraph" w:styleId="Kop4">
    <w:name w:val="heading 4"/>
    <w:basedOn w:val="Standaard"/>
    <w:next w:val="Standaard"/>
    <w:link w:val="Kop4Char"/>
    <w:uiPriority w:val="9"/>
    <w:unhideWhenUsed/>
    <w:qFormat/>
    <w:rsid w:val="00BB1B24"/>
    <w:pPr>
      <w:keepNext/>
      <w:keepLines/>
      <w:numPr>
        <w:ilvl w:val="3"/>
        <w:numId w:val="5"/>
      </w:numPr>
      <w:outlineLvl w:val="3"/>
    </w:pPr>
    <w:rPr>
      <w:rFonts w:eastAsiaTheme="majorEastAsia" w:cstheme="majorBidi"/>
      <w:bCs/>
      <w:iCs/>
      <w:color w:val="000000" w:themeColor="text1"/>
      <w:u w:val="single"/>
    </w:rPr>
  </w:style>
  <w:style w:type="paragraph" w:styleId="Kop5">
    <w:name w:val="heading 5"/>
    <w:basedOn w:val="Standaard"/>
    <w:next w:val="Standaard"/>
    <w:link w:val="Kop5Char"/>
    <w:uiPriority w:val="9"/>
    <w:unhideWhenUsed/>
    <w:qFormat/>
    <w:rsid w:val="00917E16"/>
    <w:pPr>
      <w:keepNext/>
      <w:keepLines/>
      <w:numPr>
        <w:ilvl w:val="4"/>
        <w:numId w:val="1"/>
      </w:numPr>
      <w:ind w:hanging="623"/>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D94B93"/>
    <w:pPr>
      <w:keepNext/>
      <w:keepLines/>
      <w:outlineLvl w:val="5"/>
    </w:pPr>
    <w:rPr>
      <w:rFonts w:eastAsiaTheme="majorEastAsia" w:cstheme="majorBidi"/>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7E16"/>
    <w:rPr>
      <w:rFonts w:ascii="Arial Bold" w:eastAsiaTheme="majorEastAsia" w:hAnsi="Arial Bold" w:cstheme="majorBidi"/>
      <w:b/>
      <w:bCs/>
      <w:caps/>
      <w:color w:val="000000" w:themeColor="text1"/>
      <w:szCs w:val="28"/>
      <w:u w:val="single"/>
    </w:rPr>
  </w:style>
  <w:style w:type="character" w:customStyle="1" w:styleId="Kop2Char">
    <w:name w:val="Kop 2 Char"/>
    <w:basedOn w:val="Standaardalinea-lettertype"/>
    <w:link w:val="Kop2"/>
    <w:uiPriority w:val="9"/>
    <w:rsid w:val="00917E16"/>
    <w:rPr>
      <w:rFonts w:ascii="Arial Bold" w:eastAsiaTheme="majorEastAsia" w:hAnsi="Arial Bold" w:cstheme="majorBidi"/>
      <w:b/>
      <w:bCs/>
      <w:smallCaps/>
      <w:color w:val="000000" w:themeColor="text1"/>
      <w:szCs w:val="26"/>
      <w:u w:val="single"/>
    </w:rPr>
  </w:style>
  <w:style w:type="character" w:customStyle="1" w:styleId="Kop4Char">
    <w:name w:val="Kop 4 Char"/>
    <w:basedOn w:val="Standaardalinea-lettertype"/>
    <w:link w:val="Kop4"/>
    <w:uiPriority w:val="9"/>
    <w:rsid w:val="00BB1B24"/>
    <w:rPr>
      <w:rFonts w:eastAsiaTheme="majorEastAsia" w:cstheme="majorBidi"/>
      <w:bCs/>
      <w:iCs/>
      <w:color w:val="000000" w:themeColor="text1"/>
      <w:u w:val="single"/>
    </w:rPr>
  </w:style>
  <w:style w:type="character" w:customStyle="1" w:styleId="Kop3Char">
    <w:name w:val="Kop 3 Char"/>
    <w:basedOn w:val="Standaardalinea-lettertype"/>
    <w:link w:val="Kop3"/>
    <w:uiPriority w:val="9"/>
    <w:rsid w:val="00BB1B24"/>
    <w:rPr>
      <w:rFonts w:ascii="Arial Bold" w:eastAsiaTheme="majorEastAsia" w:hAnsi="Arial Bold" w:cstheme="majorBidi"/>
      <w:b/>
      <w:bCs/>
      <w:color w:val="000000" w:themeColor="text1"/>
      <w:u w:val="single"/>
    </w:rPr>
  </w:style>
  <w:style w:type="character" w:customStyle="1" w:styleId="Kop5Char">
    <w:name w:val="Kop 5 Char"/>
    <w:basedOn w:val="Standaardalinea-lettertype"/>
    <w:link w:val="Kop5"/>
    <w:uiPriority w:val="9"/>
    <w:rsid w:val="00917E16"/>
    <w:rPr>
      <w:rFonts w:eastAsiaTheme="majorEastAsia" w:cstheme="majorBidi"/>
      <w:color w:val="000000" w:themeColor="text1"/>
    </w:rPr>
  </w:style>
  <w:style w:type="character" w:customStyle="1" w:styleId="Kop6Char">
    <w:name w:val="Kop 6 Char"/>
    <w:basedOn w:val="Standaardalinea-lettertype"/>
    <w:link w:val="Kop6"/>
    <w:uiPriority w:val="9"/>
    <w:rsid w:val="00D94B93"/>
    <w:rPr>
      <w:rFonts w:eastAsiaTheme="majorEastAsia" w:cstheme="majorBidi"/>
      <w:i/>
      <w:iCs/>
      <w:color w:val="000000" w:themeColor="text1"/>
    </w:rPr>
  </w:style>
  <w:style w:type="paragraph" w:styleId="Inhopg2">
    <w:name w:val="toc 2"/>
    <w:basedOn w:val="Standaard"/>
    <w:next w:val="Standaard"/>
    <w:autoRedefine/>
    <w:uiPriority w:val="39"/>
    <w:semiHidden/>
    <w:unhideWhenUsed/>
    <w:rsid w:val="00D94B93"/>
    <w:pPr>
      <w:ind w:left="221"/>
    </w:pPr>
  </w:style>
  <w:style w:type="paragraph" w:styleId="Inhopg3">
    <w:name w:val="toc 3"/>
    <w:basedOn w:val="Standaard"/>
    <w:next w:val="Standaard"/>
    <w:autoRedefine/>
    <w:uiPriority w:val="39"/>
    <w:semiHidden/>
    <w:unhideWhenUsed/>
    <w:rsid w:val="00D94B93"/>
    <w:pPr>
      <w:ind w:left="442"/>
    </w:pPr>
  </w:style>
  <w:style w:type="paragraph" w:styleId="Inhopg1">
    <w:name w:val="toc 1"/>
    <w:basedOn w:val="Standaard"/>
    <w:next w:val="Standaard"/>
    <w:autoRedefine/>
    <w:uiPriority w:val="39"/>
    <w:semiHidden/>
    <w:unhideWhenUsed/>
    <w:rsid w:val="00D94B93"/>
  </w:style>
  <w:style w:type="paragraph" w:styleId="Inhopg4">
    <w:name w:val="toc 4"/>
    <w:basedOn w:val="Standaard"/>
    <w:next w:val="Standaard"/>
    <w:autoRedefine/>
    <w:uiPriority w:val="39"/>
    <w:semiHidden/>
    <w:unhideWhenUsed/>
    <w:rsid w:val="00D94B93"/>
    <w:pPr>
      <w:ind w:left="658"/>
    </w:pPr>
  </w:style>
  <w:style w:type="paragraph" w:styleId="Voettekst">
    <w:name w:val="footer"/>
    <w:basedOn w:val="Standaard"/>
    <w:link w:val="VoettekstChar"/>
    <w:uiPriority w:val="99"/>
    <w:unhideWhenUsed/>
    <w:rsid w:val="00D94B93"/>
    <w:pPr>
      <w:tabs>
        <w:tab w:val="center" w:pos="4680"/>
        <w:tab w:val="right" w:pos="9360"/>
      </w:tabs>
      <w:spacing w:line="240" w:lineRule="auto"/>
    </w:pPr>
    <w:rPr>
      <w:sz w:val="18"/>
    </w:rPr>
  </w:style>
  <w:style w:type="character" w:customStyle="1" w:styleId="VoettekstChar">
    <w:name w:val="Voettekst Char"/>
    <w:basedOn w:val="Standaardalinea-lettertype"/>
    <w:link w:val="Voettekst"/>
    <w:uiPriority w:val="99"/>
    <w:rsid w:val="00D94B93"/>
    <w:rPr>
      <w:sz w:val="18"/>
    </w:rPr>
  </w:style>
  <w:style w:type="paragraph" w:styleId="Voetnoottekst">
    <w:name w:val="footnote text"/>
    <w:basedOn w:val="Standaard"/>
    <w:link w:val="VoetnoottekstChar"/>
    <w:uiPriority w:val="99"/>
    <w:unhideWhenUsed/>
    <w:rsid w:val="00F8216D"/>
    <w:pPr>
      <w:spacing w:before="60" w:line="240" w:lineRule="auto"/>
    </w:pPr>
    <w:rPr>
      <w:sz w:val="18"/>
      <w:szCs w:val="20"/>
    </w:rPr>
  </w:style>
  <w:style w:type="character" w:customStyle="1" w:styleId="VoetnoottekstChar">
    <w:name w:val="Voetnoottekst Char"/>
    <w:basedOn w:val="Standaardalinea-lettertype"/>
    <w:link w:val="Voetnoottekst"/>
    <w:uiPriority w:val="99"/>
    <w:rsid w:val="00F8216D"/>
    <w:rPr>
      <w:sz w:val="18"/>
      <w:szCs w:val="20"/>
    </w:rPr>
  </w:style>
  <w:style w:type="paragraph" w:styleId="Lijstalinea">
    <w:name w:val="List Paragraph"/>
    <w:basedOn w:val="Standaard"/>
    <w:uiPriority w:val="34"/>
    <w:qFormat/>
    <w:rsid w:val="00C20ACC"/>
    <w:pPr>
      <w:ind w:left="720"/>
      <w:contextualSpacing/>
    </w:pPr>
  </w:style>
  <w:style w:type="paragraph" w:styleId="Koptekst">
    <w:name w:val="header"/>
    <w:basedOn w:val="Standaard"/>
    <w:link w:val="KoptekstChar"/>
    <w:uiPriority w:val="99"/>
    <w:unhideWhenUsed/>
    <w:rsid w:val="00C20AC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20ACC"/>
  </w:style>
  <w:style w:type="paragraph" w:styleId="Ballontekst">
    <w:name w:val="Balloon Text"/>
    <w:basedOn w:val="Standaard"/>
    <w:link w:val="BallontekstChar"/>
    <w:uiPriority w:val="99"/>
    <w:semiHidden/>
    <w:unhideWhenUsed/>
    <w:rsid w:val="0052297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2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0ACC"/>
  </w:style>
  <w:style w:type="paragraph" w:styleId="Kop1">
    <w:name w:val="heading 1"/>
    <w:basedOn w:val="Standaard"/>
    <w:next w:val="Standaard"/>
    <w:link w:val="Kop1Char"/>
    <w:uiPriority w:val="9"/>
    <w:qFormat/>
    <w:rsid w:val="00917E16"/>
    <w:pPr>
      <w:keepNext/>
      <w:keepLines/>
      <w:numPr>
        <w:numId w:val="5"/>
      </w:numPr>
      <w:ind w:left="851" w:hanging="851"/>
      <w:outlineLvl w:val="0"/>
    </w:pPr>
    <w:rPr>
      <w:rFonts w:ascii="Arial Bold" w:eastAsiaTheme="majorEastAsia" w:hAnsi="Arial Bold" w:cstheme="majorBidi"/>
      <w:b/>
      <w:bCs/>
      <w:caps/>
      <w:color w:val="000000" w:themeColor="text1"/>
      <w:szCs w:val="28"/>
      <w:u w:val="single"/>
    </w:rPr>
  </w:style>
  <w:style w:type="paragraph" w:styleId="Kop2">
    <w:name w:val="heading 2"/>
    <w:basedOn w:val="Standaard"/>
    <w:next w:val="Standaard"/>
    <w:link w:val="Kop2Char"/>
    <w:uiPriority w:val="9"/>
    <w:unhideWhenUsed/>
    <w:qFormat/>
    <w:rsid w:val="00917E16"/>
    <w:pPr>
      <w:keepNext/>
      <w:keepLines/>
      <w:numPr>
        <w:ilvl w:val="1"/>
        <w:numId w:val="5"/>
      </w:numPr>
      <w:ind w:left="851" w:hanging="851"/>
      <w:outlineLvl w:val="1"/>
    </w:pPr>
    <w:rPr>
      <w:rFonts w:ascii="Arial Bold" w:eastAsiaTheme="majorEastAsia" w:hAnsi="Arial Bold" w:cstheme="majorBidi"/>
      <w:b/>
      <w:bCs/>
      <w:smallCaps/>
      <w:color w:val="000000" w:themeColor="text1"/>
      <w:szCs w:val="26"/>
      <w:u w:val="single"/>
    </w:rPr>
  </w:style>
  <w:style w:type="paragraph" w:styleId="Kop3">
    <w:name w:val="heading 3"/>
    <w:basedOn w:val="Standaard"/>
    <w:next w:val="Standaard"/>
    <w:link w:val="Kop3Char"/>
    <w:uiPriority w:val="9"/>
    <w:unhideWhenUsed/>
    <w:qFormat/>
    <w:rsid w:val="00BB1B24"/>
    <w:pPr>
      <w:keepNext/>
      <w:keepLines/>
      <w:numPr>
        <w:ilvl w:val="2"/>
        <w:numId w:val="5"/>
      </w:numPr>
      <w:ind w:left="851" w:hanging="851"/>
      <w:outlineLvl w:val="2"/>
    </w:pPr>
    <w:rPr>
      <w:rFonts w:ascii="Arial Bold" w:eastAsiaTheme="majorEastAsia" w:hAnsi="Arial Bold" w:cstheme="majorBidi"/>
      <w:b/>
      <w:bCs/>
      <w:color w:val="000000" w:themeColor="text1"/>
      <w:u w:val="single"/>
    </w:rPr>
  </w:style>
  <w:style w:type="paragraph" w:styleId="Kop4">
    <w:name w:val="heading 4"/>
    <w:basedOn w:val="Standaard"/>
    <w:next w:val="Standaard"/>
    <w:link w:val="Kop4Char"/>
    <w:uiPriority w:val="9"/>
    <w:unhideWhenUsed/>
    <w:qFormat/>
    <w:rsid w:val="00BB1B24"/>
    <w:pPr>
      <w:keepNext/>
      <w:keepLines/>
      <w:numPr>
        <w:ilvl w:val="3"/>
        <w:numId w:val="5"/>
      </w:numPr>
      <w:outlineLvl w:val="3"/>
    </w:pPr>
    <w:rPr>
      <w:rFonts w:eastAsiaTheme="majorEastAsia" w:cstheme="majorBidi"/>
      <w:bCs/>
      <w:iCs/>
      <w:color w:val="000000" w:themeColor="text1"/>
      <w:u w:val="single"/>
    </w:rPr>
  </w:style>
  <w:style w:type="paragraph" w:styleId="Kop5">
    <w:name w:val="heading 5"/>
    <w:basedOn w:val="Standaard"/>
    <w:next w:val="Standaard"/>
    <w:link w:val="Kop5Char"/>
    <w:uiPriority w:val="9"/>
    <w:unhideWhenUsed/>
    <w:qFormat/>
    <w:rsid w:val="00917E16"/>
    <w:pPr>
      <w:keepNext/>
      <w:keepLines/>
      <w:numPr>
        <w:ilvl w:val="4"/>
        <w:numId w:val="1"/>
      </w:numPr>
      <w:ind w:hanging="623"/>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D94B93"/>
    <w:pPr>
      <w:keepNext/>
      <w:keepLines/>
      <w:outlineLvl w:val="5"/>
    </w:pPr>
    <w:rPr>
      <w:rFonts w:eastAsiaTheme="majorEastAsia" w:cstheme="majorBidi"/>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7E16"/>
    <w:rPr>
      <w:rFonts w:ascii="Arial Bold" w:eastAsiaTheme="majorEastAsia" w:hAnsi="Arial Bold" w:cstheme="majorBidi"/>
      <w:b/>
      <w:bCs/>
      <w:caps/>
      <w:color w:val="000000" w:themeColor="text1"/>
      <w:szCs w:val="28"/>
      <w:u w:val="single"/>
    </w:rPr>
  </w:style>
  <w:style w:type="character" w:customStyle="1" w:styleId="Kop2Char">
    <w:name w:val="Kop 2 Char"/>
    <w:basedOn w:val="Standaardalinea-lettertype"/>
    <w:link w:val="Kop2"/>
    <w:uiPriority w:val="9"/>
    <w:rsid w:val="00917E16"/>
    <w:rPr>
      <w:rFonts w:ascii="Arial Bold" w:eastAsiaTheme="majorEastAsia" w:hAnsi="Arial Bold" w:cstheme="majorBidi"/>
      <w:b/>
      <w:bCs/>
      <w:smallCaps/>
      <w:color w:val="000000" w:themeColor="text1"/>
      <w:szCs w:val="26"/>
      <w:u w:val="single"/>
    </w:rPr>
  </w:style>
  <w:style w:type="character" w:customStyle="1" w:styleId="Kop4Char">
    <w:name w:val="Kop 4 Char"/>
    <w:basedOn w:val="Standaardalinea-lettertype"/>
    <w:link w:val="Kop4"/>
    <w:uiPriority w:val="9"/>
    <w:rsid w:val="00BB1B24"/>
    <w:rPr>
      <w:rFonts w:eastAsiaTheme="majorEastAsia" w:cstheme="majorBidi"/>
      <w:bCs/>
      <w:iCs/>
      <w:color w:val="000000" w:themeColor="text1"/>
      <w:u w:val="single"/>
    </w:rPr>
  </w:style>
  <w:style w:type="character" w:customStyle="1" w:styleId="Kop3Char">
    <w:name w:val="Kop 3 Char"/>
    <w:basedOn w:val="Standaardalinea-lettertype"/>
    <w:link w:val="Kop3"/>
    <w:uiPriority w:val="9"/>
    <w:rsid w:val="00BB1B24"/>
    <w:rPr>
      <w:rFonts w:ascii="Arial Bold" w:eastAsiaTheme="majorEastAsia" w:hAnsi="Arial Bold" w:cstheme="majorBidi"/>
      <w:b/>
      <w:bCs/>
      <w:color w:val="000000" w:themeColor="text1"/>
      <w:u w:val="single"/>
    </w:rPr>
  </w:style>
  <w:style w:type="character" w:customStyle="1" w:styleId="Kop5Char">
    <w:name w:val="Kop 5 Char"/>
    <w:basedOn w:val="Standaardalinea-lettertype"/>
    <w:link w:val="Kop5"/>
    <w:uiPriority w:val="9"/>
    <w:rsid w:val="00917E16"/>
    <w:rPr>
      <w:rFonts w:eastAsiaTheme="majorEastAsia" w:cstheme="majorBidi"/>
      <w:color w:val="000000" w:themeColor="text1"/>
    </w:rPr>
  </w:style>
  <w:style w:type="character" w:customStyle="1" w:styleId="Kop6Char">
    <w:name w:val="Kop 6 Char"/>
    <w:basedOn w:val="Standaardalinea-lettertype"/>
    <w:link w:val="Kop6"/>
    <w:uiPriority w:val="9"/>
    <w:rsid w:val="00D94B93"/>
    <w:rPr>
      <w:rFonts w:eastAsiaTheme="majorEastAsia" w:cstheme="majorBidi"/>
      <w:i/>
      <w:iCs/>
      <w:color w:val="000000" w:themeColor="text1"/>
    </w:rPr>
  </w:style>
  <w:style w:type="paragraph" w:styleId="Inhopg2">
    <w:name w:val="toc 2"/>
    <w:basedOn w:val="Standaard"/>
    <w:next w:val="Standaard"/>
    <w:autoRedefine/>
    <w:uiPriority w:val="39"/>
    <w:semiHidden/>
    <w:unhideWhenUsed/>
    <w:rsid w:val="00D94B93"/>
    <w:pPr>
      <w:ind w:left="221"/>
    </w:pPr>
  </w:style>
  <w:style w:type="paragraph" w:styleId="Inhopg3">
    <w:name w:val="toc 3"/>
    <w:basedOn w:val="Standaard"/>
    <w:next w:val="Standaard"/>
    <w:autoRedefine/>
    <w:uiPriority w:val="39"/>
    <w:semiHidden/>
    <w:unhideWhenUsed/>
    <w:rsid w:val="00D94B93"/>
    <w:pPr>
      <w:ind w:left="442"/>
    </w:pPr>
  </w:style>
  <w:style w:type="paragraph" w:styleId="Inhopg1">
    <w:name w:val="toc 1"/>
    <w:basedOn w:val="Standaard"/>
    <w:next w:val="Standaard"/>
    <w:autoRedefine/>
    <w:uiPriority w:val="39"/>
    <w:semiHidden/>
    <w:unhideWhenUsed/>
    <w:rsid w:val="00D94B93"/>
  </w:style>
  <w:style w:type="paragraph" w:styleId="Inhopg4">
    <w:name w:val="toc 4"/>
    <w:basedOn w:val="Standaard"/>
    <w:next w:val="Standaard"/>
    <w:autoRedefine/>
    <w:uiPriority w:val="39"/>
    <w:semiHidden/>
    <w:unhideWhenUsed/>
    <w:rsid w:val="00D94B93"/>
    <w:pPr>
      <w:ind w:left="658"/>
    </w:pPr>
  </w:style>
  <w:style w:type="paragraph" w:styleId="Voettekst">
    <w:name w:val="footer"/>
    <w:basedOn w:val="Standaard"/>
    <w:link w:val="VoettekstChar"/>
    <w:uiPriority w:val="99"/>
    <w:unhideWhenUsed/>
    <w:rsid w:val="00D94B93"/>
    <w:pPr>
      <w:tabs>
        <w:tab w:val="center" w:pos="4680"/>
        <w:tab w:val="right" w:pos="9360"/>
      </w:tabs>
      <w:spacing w:line="240" w:lineRule="auto"/>
    </w:pPr>
    <w:rPr>
      <w:sz w:val="18"/>
    </w:rPr>
  </w:style>
  <w:style w:type="character" w:customStyle="1" w:styleId="VoettekstChar">
    <w:name w:val="Voettekst Char"/>
    <w:basedOn w:val="Standaardalinea-lettertype"/>
    <w:link w:val="Voettekst"/>
    <w:uiPriority w:val="99"/>
    <w:rsid w:val="00D94B93"/>
    <w:rPr>
      <w:sz w:val="18"/>
    </w:rPr>
  </w:style>
  <w:style w:type="paragraph" w:styleId="Voetnoottekst">
    <w:name w:val="footnote text"/>
    <w:basedOn w:val="Standaard"/>
    <w:link w:val="VoetnoottekstChar"/>
    <w:uiPriority w:val="99"/>
    <w:unhideWhenUsed/>
    <w:rsid w:val="00F8216D"/>
    <w:pPr>
      <w:spacing w:before="60" w:line="240" w:lineRule="auto"/>
    </w:pPr>
    <w:rPr>
      <w:sz w:val="18"/>
      <w:szCs w:val="20"/>
    </w:rPr>
  </w:style>
  <w:style w:type="character" w:customStyle="1" w:styleId="VoetnoottekstChar">
    <w:name w:val="Voetnoottekst Char"/>
    <w:basedOn w:val="Standaardalinea-lettertype"/>
    <w:link w:val="Voetnoottekst"/>
    <w:uiPriority w:val="99"/>
    <w:rsid w:val="00F8216D"/>
    <w:rPr>
      <w:sz w:val="18"/>
      <w:szCs w:val="20"/>
    </w:rPr>
  </w:style>
  <w:style w:type="paragraph" w:styleId="Lijstalinea">
    <w:name w:val="List Paragraph"/>
    <w:basedOn w:val="Standaard"/>
    <w:uiPriority w:val="34"/>
    <w:qFormat/>
    <w:rsid w:val="00C20ACC"/>
    <w:pPr>
      <w:ind w:left="720"/>
      <w:contextualSpacing/>
    </w:pPr>
  </w:style>
  <w:style w:type="paragraph" w:styleId="Koptekst">
    <w:name w:val="header"/>
    <w:basedOn w:val="Standaard"/>
    <w:link w:val="KoptekstChar"/>
    <w:uiPriority w:val="99"/>
    <w:unhideWhenUsed/>
    <w:rsid w:val="00C20AC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20ACC"/>
  </w:style>
  <w:style w:type="paragraph" w:styleId="Ballontekst">
    <w:name w:val="Balloon Text"/>
    <w:basedOn w:val="Standaard"/>
    <w:link w:val="BallontekstChar"/>
    <w:uiPriority w:val="99"/>
    <w:semiHidden/>
    <w:unhideWhenUsed/>
    <w:rsid w:val="0052297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2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4499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Amor</dc:creator>
  <cp:lastModifiedBy>AnnetteHirschfeld</cp:lastModifiedBy>
  <cp:revision>2</cp:revision>
  <dcterms:created xsi:type="dcterms:W3CDTF">2019-12-13T07:51:00Z</dcterms:created>
  <dcterms:modified xsi:type="dcterms:W3CDTF">2019-12-13T07:51:00Z</dcterms:modified>
</cp:coreProperties>
</file>