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C8F" w:rsidRPr="00D92861" w:rsidRDefault="008A1C8F" w:rsidP="009E764B">
      <w:pPr>
        <w:jc w:val="both"/>
        <w:rPr>
          <w:rFonts w:ascii="Arial" w:hAnsi="Arial" w:cs="Arial"/>
          <w:b/>
          <w:lang w:val="en-US"/>
        </w:rPr>
      </w:pPr>
    </w:p>
    <w:p w:rsidR="00BA1B64" w:rsidRPr="00053461" w:rsidRDefault="009E764B" w:rsidP="008A1C8F">
      <w:pPr>
        <w:pBdr>
          <w:bottom w:val="single" w:sz="18" w:space="7" w:color="201C84"/>
        </w:pBdr>
        <w:spacing w:after="0" w:line="312" w:lineRule="auto"/>
        <w:rPr>
          <w:rFonts w:ascii="Arial Bold" w:eastAsia="Times New Roman" w:hAnsi="Arial Bold" w:cs="Arial"/>
          <w:b/>
          <w:color w:val="000000"/>
          <w:spacing w:val="-2"/>
          <w:sz w:val="28"/>
          <w:lang w:val="es-ES_tradnl"/>
        </w:rPr>
      </w:pPr>
      <w:r w:rsidRPr="00053461">
        <w:rPr>
          <w:rFonts w:ascii="Arial Bold" w:eastAsia="Times New Roman" w:hAnsi="Arial Bold" w:cs="Arial"/>
          <w:b/>
          <w:color w:val="000000"/>
          <w:spacing w:val="-2"/>
          <w:sz w:val="28"/>
          <w:lang w:val="es-ES_tradnl"/>
        </w:rPr>
        <w:t>ES- TEVA PHARMA &amp; RATHIOPHARMA ESPA</w:t>
      </w:r>
      <w:r w:rsidRPr="00053461">
        <w:rPr>
          <w:rFonts w:ascii="Arial Bold" w:eastAsia="Times New Roman" w:hAnsi="Arial Bold" w:cs="Arial" w:hint="eastAsia"/>
          <w:b/>
          <w:color w:val="000000"/>
          <w:spacing w:val="-2"/>
          <w:sz w:val="28"/>
          <w:lang w:val="es-ES_tradnl"/>
        </w:rPr>
        <w:t>Ñ</w:t>
      </w:r>
      <w:r w:rsidRPr="00053461">
        <w:rPr>
          <w:rFonts w:ascii="Arial Bold" w:eastAsia="Times New Roman" w:hAnsi="Arial Bold" w:cs="Arial"/>
          <w:b/>
          <w:color w:val="000000"/>
          <w:spacing w:val="-2"/>
          <w:sz w:val="28"/>
          <w:lang w:val="es-ES_tradnl"/>
        </w:rPr>
        <w:t>A v</w:t>
      </w:r>
      <w:r w:rsidR="00264DAB" w:rsidRPr="00053461">
        <w:rPr>
          <w:rFonts w:ascii="Arial Bold" w:eastAsia="Times New Roman" w:hAnsi="Arial Bold" w:cs="Arial"/>
          <w:b/>
          <w:color w:val="000000"/>
          <w:spacing w:val="-2"/>
          <w:sz w:val="28"/>
          <w:lang w:val="es-ES_tradnl"/>
        </w:rPr>
        <w:t>.</w:t>
      </w:r>
      <w:r w:rsidRPr="00053461">
        <w:rPr>
          <w:rFonts w:ascii="Arial Bold" w:eastAsia="Times New Roman" w:hAnsi="Arial Bold" w:cs="Arial"/>
          <w:b/>
          <w:color w:val="000000"/>
          <w:spacing w:val="-2"/>
          <w:sz w:val="28"/>
          <w:lang w:val="es-ES_tradnl"/>
        </w:rPr>
        <w:t xml:space="preserve"> LA ROCHE AG</w:t>
      </w:r>
    </w:p>
    <w:p w:rsidR="008A1C8F" w:rsidRPr="00053461" w:rsidRDefault="008A1C8F" w:rsidP="008A1C8F">
      <w:pPr>
        <w:pBdr>
          <w:bottom w:val="single" w:sz="18" w:space="7" w:color="201C84"/>
        </w:pBdr>
        <w:spacing w:after="0" w:line="312" w:lineRule="auto"/>
        <w:rPr>
          <w:rFonts w:ascii="Arial Bold" w:eastAsia="Times New Roman" w:hAnsi="Arial Bold" w:cs="Arial"/>
          <w:b/>
          <w:color w:val="000000"/>
          <w:spacing w:val="-2"/>
          <w:sz w:val="28"/>
          <w:lang w:val="es-ES_tradnl"/>
        </w:rPr>
      </w:pPr>
    </w:p>
    <w:p w:rsidR="008A1C8F" w:rsidRPr="00D92861" w:rsidRDefault="009E764B" w:rsidP="008A1C8F">
      <w:pPr>
        <w:pBdr>
          <w:bottom w:val="single" w:sz="18" w:space="7" w:color="201C84"/>
        </w:pBdr>
        <w:spacing w:after="0" w:line="312" w:lineRule="auto"/>
        <w:rPr>
          <w:rFonts w:ascii="Verdana" w:eastAsia="Times New Roman" w:hAnsi="Verdana" w:cs="Times New Roman"/>
          <w:b/>
          <w:bCs/>
          <w:color w:val="272923"/>
          <w:szCs w:val="20"/>
          <w:lang w:val="en-US"/>
        </w:rPr>
      </w:pPr>
      <w:proofErr w:type="spellStart"/>
      <w:r w:rsidRPr="00D92861">
        <w:rPr>
          <w:rFonts w:ascii="Verdana" w:eastAsia="Times New Roman" w:hAnsi="Verdana" w:cs="Times New Roman"/>
          <w:b/>
          <w:bCs/>
          <w:color w:val="272923"/>
          <w:szCs w:val="20"/>
          <w:lang w:val="en-US"/>
        </w:rPr>
        <w:t>Teva</w:t>
      </w:r>
      <w:proofErr w:type="spellEnd"/>
      <w:r w:rsidRPr="00D92861">
        <w:rPr>
          <w:rFonts w:ascii="Verdana" w:eastAsia="Times New Roman" w:hAnsi="Verdana" w:cs="Times New Roman"/>
          <w:b/>
          <w:bCs/>
          <w:color w:val="272923"/>
          <w:szCs w:val="20"/>
          <w:lang w:val="en-US"/>
        </w:rPr>
        <w:t xml:space="preserve"> Pharma S.L.U. &amp; </w:t>
      </w:r>
      <w:proofErr w:type="spellStart"/>
      <w:r w:rsidRPr="00D92861">
        <w:rPr>
          <w:rFonts w:ascii="Verdana" w:eastAsia="Times New Roman" w:hAnsi="Verdana" w:cs="Times New Roman"/>
          <w:b/>
          <w:bCs/>
          <w:color w:val="272923"/>
          <w:szCs w:val="20"/>
          <w:lang w:val="en-US"/>
        </w:rPr>
        <w:t>Ratiopharma</w:t>
      </w:r>
      <w:proofErr w:type="spellEnd"/>
      <w:r w:rsidRPr="00D92861">
        <w:rPr>
          <w:rFonts w:ascii="Verdana" w:eastAsia="Times New Roman" w:hAnsi="Verdana" w:cs="Times New Roman"/>
          <w:b/>
          <w:bCs/>
          <w:color w:val="272923"/>
          <w:szCs w:val="20"/>
          <w:lang w:val="en-US"/>
        </w:rPr>
        <w:t xml:space="preserve"> </w:t>
      </w:r>
      <w:proofErr w:type="spellStart"/>
      <w:r w:rsidRPr="00D92861">
        <w:rPr>
          <w:rFonts w:ascii="Verdana" w:eastAsia="Times New Roman" w:hAnsi="Verdana" w:cs="Times New Roman"/>
          <w:b/>
          <w:bCs/>
          <w:color w:val="272923"/>
          <w:szCs w:val="20"/>
          <w:lang w:val="en-US"/>
        </w:rPr>
        <w:t>España</w:t>
      </w:r>
      <w:proofErr w:type="spellEnd"/>
      <w:r w:rsidRPr="00D92861">
        <w:rPr>
          <w:rFonts w:ascii="Verdana" w:eastAsia="Times New Roman" w:hAnsi="Verdana" w:cs="Times New Roman"/>
          <w:b/>
          <w:bCs/>
          <w:color w:val="272923"/>
          <w:szCs w:val="20"/>
          <w:lang w:val="en-US"/>
        </w:rPr>
        <w:t xml:space="preserve"> S.A. v. F. Hoffmann La Roche AG, Provincial Court of Barcelona</w:t>
      </w:r>
      <w:r w:rsidR="00A76BC6">
        <w:rPr>
          <w:rFonts w:ascii="Verdana" w:eastAsia="Times New Roman" w:hAnsi="Verdana" w:cs="Times New Roman"/>
          <w:b/>
          <w:bCs/>
          <w:color w:val="272923"/>
          <w:szCs w:val="20"/>
          <w:lang w:val="en-US"/>
        </w:rPr>
        <w:t>,</w:t>
      </w:r>
      <w:r w:rsidR="008A1C8F" w:rsidRPr="00D92861">
        <w:rPr>
          <w:rFonts w:ascii="Verdana" w:eastAsia="Times New Roman" w:hAnsi="Verdana" w:cs="Times New Roman"/>
          <w:b/>
          <w:bCs/>
          <w:color w:val="272923"/>
          <w:szCs w:val="20"/>
          <w:lang w:val="en-US"/>
        </w:rPr>
        <w:t xml:space="preserve"> Section 15</w:t>
      </w:r>
      <w:r w:rsidRPr="00D92861">
        <w:rPr>
          <w:rFonts w:ascii="Verdana" w:eastAsia="Times New Roman" w:hAnsi="Verdana" w:cs="Times New Roman"/>
          <w:b/>
          <w:bCs/>
          <w:color w:val="272923"/>
          <w:szCs w:val="20"/>
          <w:lang w:val="en-US"/>
        </w:rPr>
        <w:t xml:space="preserve">, Spain, 22 May 2017, Appeal Docket </w:t>
      </w:r>
      <w:r w:rsidR="00A76BC6">
        <w:rPr>
          <w:rFonts w:ascii="Verdana" w:eastAsia="Times New Roman" w:hAnsi="Verdana" w:cs="Times New Roman"/>
          <w:b/>
          <w:bCs/>
          <w:color w:val="272923"/>
          <w:szCs w:val="20"/>
          <w:lang w:val="en-US"/>
        </w:rPr>
        <w:t>N</w:t>
      </w:r>
      <w:r w:rsidRPr="00D92861">
        <w:rPr>
          <w:rFonts w:ascii="Verdana" w:eastAsia="Times New Roman" w:hAnsi="Verdana" w:cs="Times New Roman"/>
          <w:b/>
          <w:bCs/>
          <w:color w:val="272923"/>
          <w:szCs w:val="20"/>
          <w:lang w:val="en-US"/>
        </w:rPr>
        <w:t xml:space="preserve">umber: 739/2015. </w:t>
      </w:r>
      <w:bookmarkStart w:id="0" w:name="_GoBack"/>
      <w:bookmarkEnd w:id="0"/>
    </w:p>
    <w:p w:rsidR="008A1C8F" w:rsidRPr="00D92861" w:rsidRDefault="008A1C8F" w:rsidP="009E764B">
      <w:pPr>
        <w:jc w:val="both"/>
        <w:rPr>
          <w:rFonts w:ascii="Arial" w:hAnsi="Arial" w:cs="Arial"/>
          <w:lang w:val="en-US"/>
        </w:rPr>
      </w:pPr>
    </w:p>
    <w:p w:rsidR="007B7430" w:rsidRPr="00D92861" w:rsidRDefault="009E764B" w:rsidP="009E764B">
      <w:pPr>
        <w:pBdr>
          <w:bottom w:val="single" w:sz="6" w:space="1" w:color="auto"/>
        </w:pBdr>
        <w:jc w:val="both"/>
        <w:rPr>
          <w:rFonts w:ascii="Arial" w:hAnsi="Arial" w:cs="Arial"/>
          <w:lang w:val="en-US"/>
        </w:rPr>
      </w:pPr>
      <w:r w:rsidRPr="00D92861">
        <w:rPr>
          <w:rFonts w:ascii="Arial" w:hAnsi="Arial" w:cs="Arial"/>
          <w:lang w:val="en-US"/>
        </w:rPr>
        <w:t xml:space="preserve">In May </w:t>
      </w:r>
      <w:r w:rsidR="00553C98" w:rsidRPr="00D92861">
        <w:rPr>
          <w:rFonts w:ascii="Arial" w:hAnsi="Arial" w:cs="Arial"/>
          <w:lang w:val="en-US"/>
        </w:rPr>
        <w:t>2017</w:t>
      </w:r>
      <w:r w:rsidR="00494E73">
        <w:rPr>
          <w:rFonts w:ascii="Arial" w:hAnsi="Arial" w:cs="Arial"/>
          <w:lang w:val="en-US"/>
        </w:rPr>
        <w:t>,</w:t>
      </w:r>
      <w:r w:rsidRPr="00D92861">
        <w:rPr>
          <w:rFonts w:ascii="Arial" w:hAnsi="Arial" w:cs="Arial"/>
          <w:lang w:val="en-US"/>
        </w:rPr>
        <w:t xml:space="preserve"> </w:t>
      </w:r>
      <w:r w:rsidR="00553C98" w:rsidRPr="00D92861">
        <w:rPr>
          <w:rFonts w:ascii="Arial" w:hAnsi="Arial" w:cs="Arial"/>
          <w:lang w:val="en-US"/>
        </w:rPr>
        <w:t xml:space="preserve">Section 15 of </w:t>
      </w:r>
      <w:r w:rsidR="00494E73">
        <w:rPr>
          <w:rFonts w:ascii="Arial" w:hAnsi="Arial" w:cs="Arial"/>
          <w:lang w:val="en-US"/>
        </w:rPr>
        <w:t xml:space="preserve">the </w:t>
      </w:r>
      <w:r w:rsidR="00553C98" w:rsidRPr="00D92861">
        <w:rPr>
          <w:rFonts w:ascii="Arial" w:hAnsi="Arial" w:cs="Arial"/>
          <w:lang w:val="en-US"/>
        </w:rPr>
        <w:t>Barcelona Court of Appeal</w:t>
      </w:r>
      <w:r w:rsidR="00494E73">
        <w:rPr>
          <w:rFonts w:ascii="Arial" w:hAnsi="Arial" w:cs="Arial"/>
          <w:lang w:val="en-US"/>
        </w:rPr>
        <w:t>s</w:t>
      </w:r>
      <w:r w:rsidRPr="00D92861">
        <w:rPr>
          <w:rFonts w:ascii="Arial" w:hAnsi="Arial" w:cs="Arial"/>
          <w:lang w:val="en-US"/>
        </w:rPr>
        <w:t xml:space="preserve"> declared the nullity of</w:t>
      </w:r>
      <w:r w:rsidR="00BA6C91" w:rsidRPr="00D92861">
        <w:rPr>
          <w:rFonts w:ascii="Arial" w:hAnsi="Arial" w:cs="Arial"/>
          <w:lang w:val="en-US"/>
        </w:rPr>
        <w:t xml:space="preserve"> patent ES 2.083.348 (ES 348), </w:t>
      </w:r>
      <w:r w:rsidRPr="00D92861">
        <w:rPr>
          <w:rFonts w:ascii="Arial" w:hAnsi="Arial" w:cs="Arial"/>
          <w:lang w:val="en-US"/>
        </w:rPr>
        <w:t>the Spanish part of patent EP 0.694.547 B1 (E</w:t>
      </w:r>
      <w:r w:rsidR="00450F03" w:rsidRPr="00D92861">
        <w:rPr>
          <w:rFonts w:ascii="Arial" w:hAnsi="Arial" w:cs="Arial"/>
          <w:lang w:val="en-US"/>
        </w:rPr>
        <w:t>P</w:t>
      </w:r>
      <w:r w:rsidR="002B5E4D" w:rsidRPr="00D92861">
        <w:rPr>
          <w:rFonts w:ascii="Arial" w:hAnsi="Arial" w:cs="Arial"/>
          <w:lang w:val="en-US"/>
        </w:rPr>
        <w:t xml:space="preserve"> </w:t>
      </w:r>
      <w:r w:rsidR="00580FA3" w:rsidRPr="00D92861">
        <w:rPr>
          <w:rFonts w:ascii="Arial" w:hAnsi="Arial" w:cs="Arial"/>
          <w:lang w:val="en-US"/>
        </w:rPr>
        <w:t xml:space="preserve">547), owned by La Roche AG, </w:t>
      </w:r>
      <w:r w:rsidR="00494E73">
        <w:rPr>
          <w:rFonts w:ascii="Arial" w:hAnsi="Arial" w:cs="Arial"/>
          <w:lang w:val="en-US"/>
        </w:rPr>
        <w:t>due to</w:t>
      </w:r>
      <w:r w:rsidRPr="00D92861">
        <w:rPr>
          <w:rFonts w:ascii="Arial" w:hAnsi="Arial" w:cs="Arial"/>
          <w:lang w:val="en-US"/>
        </w:rPr>
        <w:t xml:space="preserve"> lack of inventive step. </w:t>
      </w:r>
      <w:r w:rsidR="00450F03" w:rsidRPr="00D92861">
        <w:rPr>
          <w:rFonts w:ascii="Arial" w:hAnsi="Arial" w:cs="Arial"/>
          <w:lang w:val="en-US"/>
        </w:rPr>
        <w:t xml:space="preserve">Patent </w:t>
      </w:r>
      <w:r w:rsidR="004543FF" w:rsidRPr="00D92861">
        <w:rPr>
          <w:rFonts w:ascii="Arial" w:hAnsi="Arial" w:cs="Arial"/>
          <w:lang w:val="en-US"/>
        </w:rPr>
        <w:t xml:space="preserve">ES 348 </w:t>
      </w:r>
      <w:r w:rsidR="00450F03" w:rsidRPr="00D92861">
        <w:rPr>
          <w:rFonts w:ascii="Arial" w:hAnsi="Arial" w:cs="Arial"/>
          <w:lang w:val="en-US"/>
        </w:rPr>
        <w:t xml:space="preserve">protects the drug </w:t>
      </w:r>
      <w:proofErr w:type="spellStart"/>
      <w:r w:rsidR="00450F03" w:rsidRPr="00D92861">
        <w:rPr>
          <w:rFonts w:ascii="Arial" w:hAnsi="Arial" w:cs="Arial"/>
          <w:lang w:val="en-US"/>
        </w:rPr>
        <w:t>valganciclovir</w:t>
      </w:r>
      <w:proofErr w:type="spellEnd"/>
      <w:r w:rsidR="00450F03" w:rsidRPr="00D92861">
        <w:rPr>
          <w:rFonts w:ascii="Arial" w:hAnsi="Arial" w:cs="Arial"/>
          <w:lang w:val="en-US"/>
        </w:rPr>
        <w:t xml:space="preserve"> (monoester L-</w:t>
      </w:r>
      <w:proofErr w:type="spellStart"/>
      <w:r w:rsidR="00450F03" w:rsidRPr="00D92861">
        <w:rPr>
          <w:rFonts w:ascii="Arial" w:hAnsi="Arial" w:cs="Arial"/>
          <w:lang w:val="en-US"/>
        </w:rPr>
        <w:t>valinate</w:t>
      </w:r>
      <w:proofErr w:type="spellEnd"/>
      <w:r w:rsidR="00450F03" w:rsidRPr="00D92861">
        <w:rPr>
          <w:rFonts w:ascii="Arial" w:hAnsi="Arial" w:cs="Arial"/>
          <w:lang w:val="en-US"/>
        </w:rPr>
        <w:t xml:space="preserve"> of ganciclovir) </w:t>
      </w:r>
      <w:r w:rsidR="002B5E4D" w:rsidRPr="00D92861">
        <w:rPr>
          <w:rFonts w:ascii="Arial" w:hAnsi="Arial" w:cs="Arial"/>
          <w:lang w:val="en-US"/>
        </w:rPr>
        <w:t>and its salts, a process for preparing that compound and the use of the compound for the preparation of pharmaceutical compositions for the treatment of antiviral</w:t>
      </w:r>
      <w:r w:rsidR="00494E73">
        <w:rPr>
          <w:rFonts w:ascii="Arial" w:hAnsi="Arial" w:cs="Arial"/>
          <w:lang w:val="en-US"/>
        </w:rPr>
        <w:t>s</w:t>
      </w:r>
      <w:r w:rsidR="002B5E4D" w:rsidRPr="00D92861">
        <w:rPr>
          <w:rFonts w:ascii="Arial" w:hAnsi="Arial" w:cs="Arial"/>
          <w:lang w:val="en-US"/>
        </w:rPr>
        <w:t xml:space="preserve"> and related diseases. </w:t>
      </w:r>
      <w:proofErr w:type="spellStart"/>
      <w:r w:rsidR="002B5E4D" w:rsidRPr="00D92861">
        <w:rPr>
          <w:rFonts w:ascii="Arial" w:hAnsi="Arial" w:cs="Arial"/>
          <w:lang w:val="en-US"/>
        </w:rPr>
        <w:t>V</w:t>
      </w:r>
      <w:r w:rsidR="00084CE3" w:rsidRPr="00D92861">
        <w:rPr>
          <w:rFonts w:ascii="Arial" w:hAnsi="Arial" w:cs="Arial"/>
          <w:lang w:val="en-US"/>
        </w:rPr>
        <w:t>alganciclovir</w:t>
      </w:r>
      <w:proofErr w:type="spellEnd"/>
      <w:r w:rsidR="00084CE3" w:rsidRPr="00D92861">
        <w:rPr>
          <w:rFonts w:ascii="Arial" w:hAnsi="Arial" w:cs="Arial"/>
          <w:lang w:val="en-US"/>
        </w:rPr>
        <w:t xml:space="preserve"> is a prodrug of g</w:t>
      </w:r>
      <w:r w:rsidR="002B5E4D" w:rsidRPr="00D92861">
        <w:rPr>
          <w:rFonts w:ascii="Arial" w:hAnsi="Arial" w:cs="Arial"/>
          <w:lang w:val="en-US"/>
        </w:rPr>
        <w:t>anciclovir whose oral bioavailabilit</w:t>
      </w:r>
      <w:r w:rsidR="00580FA3" w:rsidRPr="00D92861">
        <w:rPr>
          <w:rFonts w:ascii="Arial" w:hAnsi="Arial" w:cs="Arial"/>
          <w:lang w:val="en-US"/>
        </w:rPr>
        <w:t>y is much higher than that of g</w:t>
      </w:r>
      <w:r w:rsidR="002B5E4D" w:rsidRPr="00D92861">
        <w:rPr>
          <w:rFonts w:ascii="Arial" w:hAnsi="Arial" w:cs="Arial"/>
          <w:lang w:val="en-US"/>
        </w:rPr>
        <w:t xml:space="preserve">anciclovir. </w:t>
      </w:r>
    </w:p>
    <w:p w:rsidR="00580FA3" w:rsidRPr="00D92861" w:rsidRDefault="00580FA3" w:rsidP="009E764B">
      <w:pPr>
        <w:pBdr>
          <w:bottom w:val="single" w:sz="6" w:space="1" w:color="auto"/>
        </w:pBdr>
        <w:jc w:val="both"/>
        <w:rPr>
          <w:rFonts w:ascii="Arial" w:hAnsi="Arial" w:cs="Arial"/>
          <w:lang w:val="en-US"/>
        </w:rPr>
      </w:pPr>
    </w:p>
    <w:p w:rsidR="00580FA3" w:rsidRPr="00D92861" w:rsidRDefault="00580FA3" w:rsidP="009E764B">
      <w:pPr>
        <w:jc w:val="both"/>
        <w:rPr>
          <w:rFonts w:ascii="Arial" w:hAnsi="Arial" w:cs="Arial"/>
          <w:lang w:val="en-US"/>
        </w:rPr>
      </w:pPr>
      <w:proofErr w:type="spellStart"/>
      <w:r w:rsidRPr="00D92861">
        <w:rPr>
          <w:rFonts w:ascii="Arial" w:hAnsi="Arial" w:cs="Arial"/>
          <w:lang w:val="en-US"/>
        </w:rPr>
        <w:t>Teva</w:t>
      </w:r>
      <w:proofErr w:type="spellEnd"/>
      <w:r w:rsidRPr="00D92861">
        <w:rPr>
          <w:rFonts w:ascii="Arial" w:hAnsi="Arial" w:cs="Arial"/>
          <w:lang w:val="en-US"/>
        </w:rPr>
        <w:t xml:space="preserve"> Pharma S.L.U. (hereinafter</w:t>
      </w:r>
      <w:r w:rsidR="0069299D">
        <w:rPr>
          <w:rFonts w:ascii="Arial" w:hAnsi="Arial" w:cs="Arial"/>
          <w:lang w:val="en-US"/>
        </w:rPr>
        <w:t>,</w:t>
      </w:r>
      <w:r w:rsidRPr="00D92861">
        <w:rPr>
          <w:rFonts w:ascii="Arial" w:hAnsi="Arial" w:cs="Arial"/>
          <w:lang w:val="en-US"/>
        </w:rPr>
        <w:t xml:space="preserve"> “</w:t>
      </w:r>
      <w:proofErr w:type="spellStart"/>
      <w:r w:rsidRPr="00D92861">
        <w:rPr>
          <w:rFonts w:ascii="Arial" w:hAnsi="Arial" w:cs="Arial"/>
          <w:lang w:val="en-US"/>
        </w:rPr>
        <w:t>Teva</w:t>
      </w:r>
      <w:proofErr w:type="spellEnd"/>
      <w:r w:rsidRPr="00D92861">
        <w:rPr>
          <w:rFonts w:ascii="Arial" w:hAnsi="Arial" w:cs="Arial"/>
          <w:lang w:val="en-US"/>
        </w:rPr>
        <w:t xml:space="preserve">”) and </w:t>
      </w:r>
      <w:proofErr w:type="spellStart"/>
      <w:r w:rsidRPr="00D92861">
        <w:rPr>
          <w:rFonts w:ascii="Arial" w:hAnsi="Arial" w:cs="Arial"/>
          <w:lang w:val="en-US"/>
        </w:rPr>
        <w:t>Ratiopharma</w:t>
      </w:r>
      <w:proofErr w:type="spellEnd"/>
      <w:r w:rsidRPr="00D92861">
        <w:rPr>
          <w:rFonts w:ascii="Arial" w:hAnsi="Arial" w:cs="Arial"/>
          <w:lang w:val="en-US"/>
        </w:rPr>
        <w:t xml:space="preserve"> </w:t>
      </w:r>
      <w:proofErr w:type="spellStart"/>
      <w:r w:rsidRPr="00D92861">
        <w:rPr>
          <w:rFonts w:ascii="Arial" w:hAnsi="Arial" w:cs="Arial"/>
          <w:lang w:val="en-US"/>
        </w:rPr>
        <w:t>España</w:t>
      </w:r>
      <w:proofErr w:type="spellEnd"/>
      <w:r w:rsidRPr="00D92861">
        <w:rPr>
          <w:rFonts w:ascii="Arial" w:hAnsi="Arial" w:cs="Arial"/>
          <w:lang w:val="en-US"/>
        </w:rPr>
        <w:t xml:space="preserve"> S.A. (“</w:t>
      </w:r>
      <w:proofErr w:type="spellStart"/>
      <w:r w:rsidRPr="00D92861">
        <w:rPr>
          <w:rFonts w:ascii="Arial" w:hAnsi="Arial" w:cs="Arial"/>
          <w:lang w:val="en-US"/>
        </w:rPr>
        <w:t>Ratiopharma</w:t>
      </w:r>
      <w:proofErr w:type="spellEnd"/>
      <w:r w:rsidRPr="00D92861">
        <w:rPr>
          <w:rFonts w:ascii="Arial" w:hAnsi="Arial" w:cs="Arial"/>
          <w:lang w:val="en-US"/>
        </w:rPr>
        <w:t xml:space="preserve">”), </w:t>
      </w:r>
      <w:r w:rsidR="00032096">
        <w:rPr>
          <w:rFonts w:ascii="Arial" w:hAnsi="Arial" w:cs="Arial"/>
          <w:lang w:val="en-US"/>
        </w:rPr>
        <w:t>filed a lawsuit</w:t>
      </w:r>
      <w:r w:rsidRPr="00D92861">
        <w:rPr>
          <w:rFonts w:ascii="Arial" w:hAnsi="Arial" w:cs="Arial"/>
          <w:lang w:val="en-US"/>
        </w:rPr>
        <w:t xml:space="preserve"> against F. Hoffmann La Roche AG (“Roche”) claiming the invalidity of patent ES 348 </w:t>
      </w:r>
      <w:r w:rsidR="00553C98" w:rsidRPr="00D92861">
        <w:rPr>
          <w:rFonts w:ascii="Arial" w:hAnsi="Arial" w:cs="Arial"/>
          <w:lang w:val="en-US"/>
        </w:rPr>
        <w:t>due to</w:t>
      </w:r>
      <w:r w:rsidRPr="00D92861">
        <w:rPr>
          <w:rFonts w:ascii="Arial" w:hAnsi="Arial" w:cs="Arial"/>
          <w:lang w:val="en-US"/>
        </w:rPr>
        <w:t xml:space="preserve"> lack novelty and inventive step, based on the following prior art documents: EP 0.375.329 A2 (EP 329), GB 8829571 (GB 571) and the “</w:t>
      </w:r>
      <w:proofErr w:type="spellStart"/>
      <w:r w:rsidRPr="00D92861">
        <w:rPr>
          <w:rFonts w:ascii="Arial" w:hAnsi="Arial" w:cs="Arial"/>
          <w:i/>
          <w:lang w:val="en-US"/>
        </w:rPr>
        <w:t>Druckexemplar</w:t>
      </w:r>
      <w:proofErr w:type="spellEnd"/>
      <w:r w:rsidRPr="00D92861">
        <w:rPr>
          <w:rFonts w:ascii="Arial" w:hAnsi="Arial" w:cs="Arial"/>
          <w:i/>
          <w:lang w:val="en-US"/>
        </w:rPr>
        <w:t xml:space="preserve">” </w:t>
      </w:r>
      <w:r w:rsidRPr="00D92861">
        <w:rPr>
          <w:rFonts w:ascii="Arial" w:hAnsi="Arial" w:cs="Arial"/>
          <w:lang w:val="en-US"/>
        </w:rPr>
        <w:t xml:space="preserve">of the patent application EP 329.   </w:t>
      </w:r>
    </w:p>
    <w:p w:rsidR="00A92EF1" w:rsidRPr="00D92861" w:rsidRDefault="00A92EF1" w:rsidP="009E764B">
      <w:pPr>
        <w:jc w:val="both"/>
        <w:rPr>
          <w:rFonts w:ascii="Arial" w:hAnsi="Arial" w:cs="Arial"/>
          <w:lang w:val="en-US"/>
        </w:rPr>
      </w:pPr>
      <w:r w:rsidRPr="00D92861">
        <w:rPr>
          <w:rFonts w:ascii="Arial" w:hAnsi="Arial" w:cs="Arial"/>
          <w:lang w:val="en-US"/>
        </w:rPr>
        <w:t>Initially</w:t>
      </w:r>
      <w:r w:rsidR="00967DB5">
        <w:rPr>
          <w:rFonts w:ascii="Arial" w:hAnsi="Arial" w:cs="Arial"/>
          <w:lang w:val="en-US"/>
        </w:rPr>
        <w:t>,</w:t>
      </w:r>
      <w:r w:rsidRPr="00D92861">
        <w:rPr>
          <w:rFonts w:ascii="Arial" w:hAnsi="Arial" w:cs="Arial"/>
          <w:lang w:val="en-US"/>
        </w:rPr>
        <w:t xml:space="preserve"> </w:t>
      </w:r>
      <w:r w:rsidR="005062BE" w:rsidRPr="00D92861">
        <w:rPr>
          <w:rFonts w:ascii="Arial" w:hAnsi="Arial" w:cs="Arial"/>
          <w:lang w:val="en-US"/>
        </w:rPr>
        <w:t>Roche</w:t>
      </w:r>
      <w:r w:rsidRPr="00D92861">
        <w:rPr>
          <w:rFonts w:ascii="Arial" w:hAnsi="Arial" w:cs="Arial"/>
          <w:lang w:val="en-US"/>
        </w:rPr>
        <w:t xml:space="preserve"> defended the validity of the patent as gra</w:t>
      </w:r>
      <w:r w:rsidR="00967DB5">
        <w:rPr>
          <w:rFonts w:ascii="Arial" w:hAnsi="Arial" w:cs="Arial"/>
          <w:lang w:val="en-US"/>
        </w:rPr>
        <w:t>n</w:t>
      </w:r>
      <w:r w:rsidRPr="00D92861">
        <w:rPr>
          <w:rFonts w:ascii="Arial" w:hAnsi="Arial" w:cs="Arial"/>
          <w:lang w:val="en-US"/>
        </w:rPr>
        <w:t xml:space="preserve">ted and, </w:t>
      </w:r>
      <w:r w:rsidRPr="00D92861">
        <w:rPr>
          <w:rFonts w:ascii="Arial" w:hAnsi="Arial" w:cs="Arial"/>
          <w:i/>
          <w:lang w:val="en-US"/>
        </w:rPr>
        <w:t xml:space="preserve">ad </w:t>
      </w:r>
      <w:proofErr w:type="spellStart"/>
      <w:r w:rsidRPr="00D92861">
        <w:rPr>
          <w:rFonts w:ascii="Arial" w:hAnsi="Arial" w:cs="Arial"/>
          <w:i/>
          <w:lang w:val="en-US"/>
        </w:rPr>
        <w:t>cautelam</w:t>
      </w:r>
      <w:proofErr w:type="spellEnd"/>
      <w:r w:rsidRPr="00D92861">
        <w:rPr>
          <w:rFonts w:ascii="Arial" w:hAnsi="Arial" w:cs="Arial"/>
          <w:i/>
          <w:lang w:val="en-US"/>
        </w:rPr>
        <w:t>,</w:t>
      </w:r>
      <w:r w:rsidRPr="00D92861">
        <w:rPr>
          <w:rFonts w:ascii="Arial" w:hAnsi="Arial" w:cs="Arial"/>
          <w:lang w:val="en-US"/>
        </w:rPr>
        <w:t xml:space="preserve"> in case the Court understood that the current wording of the claims lacked novelty and/or inventive step, Roche </w:t>
      </w:r>
      <w:r w:rsidR="000052E3" w:rsidRPr="00D92861">
        <w:rPr>
          <w:rFonts w:ascii="Arial" w:hAnsi="Arial" w:cs="Arial"/>
          <w:lang w:val="en-US"/>
        </w:rPr>
        <w:t xml:space="preserve">requested </w:t>
      </w:r>
      <w:r w:rsidR="00BD655C">
        <w:rPr>
          <w:rFonts w:ascii="Arial" w:hAnsi="Arial" w:cs="Arial"/>
          <w:lang w:val="en-US"/>
        </w:rPr>
        <w:t>one</w:t>
      </w:r>
      <w:r w:rsidR="00BD655C" w:rsidRPr="00D92861">
        <w:rPr>
          <w:rFonts w:ascii="Arial" w:hAnsi="Arial" w:cs="Arial"/>
          <w:lang w:val="en-US"/>
        </w:rPr>
        <w:t xml:space="preserve"> </w:t>
      </w:r>
      <w:r w:rsidRPr="00D92861">
        <w:rPr>
          <w:rFonts w:ascii="Arial" w:hAnsi="Arial" w:cs="Arial"/>
          <w:lang w:val="en-US"/>
        </w:rPr>
        <w:t xml:space="preserve">main amendment </w:t>
      </w:r>
      <w:r w:rsidR="000052E3" w:rsidRPr="00D92861">
        <w:rPr>
          <w:rFonts w:ascii="Arial" w:hAnsi="Arial" w:cs="Arial"/>
          <w:lang w:val="en-US"/>
        </w:rPr>
        <w:t>of claim 1</w:t>
      </w:r>
      <w:r w:rsidRPr="00D92861">
        <w:rPr>
          <w:rFonts w:ascii="Arial" w:hAnsi="Arial" w:cs="Arial"/>
          <w:lang w:val="en-US"/>
        </w:rPr>
        <w:t xml:space="preserve"> and two </w:t>
      </w:r>
      <w:r w:rsidR="00767E08" w:rsidRPr="00D92861">
        <w:rPr>
          <w:rFonts w:ascii="Arial" w:hAnsi="Arial" w:cs="Arial"/>
          <w:lang w:val="en-US"/>
        </w:rPr>
        <w:t>subsidiary amendments in order to</w:t>
      </w:r>
      <w:r w:rsidR="005062BE" w:rsidRPr="00D92861">
        <w:rPr>
          <w:rFonts w:ascii="Arial" w:hAnsi="Arial" w:cs="Arial"/>
          <w:lang w:val="en-US"/>
        </w:rPr>
        <w:t xml:space="preserve"> </w:t>
      </w:r>
      <w:r w:rsidR="002E73EB" w:rsidRPr="00D92861">
        <w:rPr>
          <w:rFonts w:ascii="Arial" w:hAnsi="Arial" w:cs="Arial"/>
          <w:lang w:val="en-US"/>
        </w:rPr>
        <w:t xml:space="preserve">limit </w:t>
      </w:r>
      <w:r w:rsidR="00BA6C91" w:rsidRPr="00D92861">
        <w:rPr>
          <w:rFonts w:ascii="Arial" w:hAnsi="Arial" w:cs="Arial"/>
          <w:lang w:val="en-US"/>
        </w:rPr>
        <w:t xml:space="preserve">the scope of protection of </w:t>
      </w:r>
      <w:r w:rsidR="005062BE" w:rsidRPr="00D92861">
        <w:rPr>
          <w:rFonts w:ascii="Arial" w:hAnsi="Arial" w:cs="Arial"/>
          <w:lang w:val="en-US"/>
        </w:rPr>
        <w:t xml:space="preserve">patent </w:t>
      </w:r>
      <w:r w:rsidR="004543FF" w:rsidRPr="00D92861">
        <w:rPr>
          <w:rFonts w:ascii="Arial" w:hAnsi="Arial" w:cs="Arial"/>
          <w:lang w:val="en-US"/>
        </w:rPr>
        <w:t>ES 348</w:t>
      </w:r>
      <w:r w:rsidR="00BA6C91" w:rsidRPr="00D92861">
        <w:rPr>
          <w:rFonts w:ascii="Arial" w:hAnsi="Arial" w:cs="Arial"/>
          <w:lang w:val="en-US"/>
        </w:rPr>
        <w:t>.</w:t>
      </w:r>
      <w:r w:rsidR="005062BE" w:rsidRPr="00D92861">
        <w:rPr>
          <w:rFonts w:ascii="Arial" w:hAnsi="Arial" w:cs="Arial"/>
          <w:lang w:val="en-US"/>
        </w:rPr>
        <w:t xml:space="preserve"> </w:t>
      </w:r>
      <w:r w:rsidRPr="00D92861">
        <w:rPr>
          <w:rFonts w:ascii="Arial" w:hAnsi="Arial" w:cs="Arial"/>
          <w:lang w:val="en-US"/>
        </w:rPr>
        <w:t xml:space="preserve">Later on, Roche </w:t>
      </w:r>
      <w:r w:rsidR="00880683">
        <w:rPr>
          <w:rFonts w:ascii="Arial" w:hAnsi="Arial" w:cs="Arial"/>
          <w:lang w:val="en-US"/>
        </w:rPr>
        <w:t>asked</w:t>
      </w:r>
      <w:r w:rsidR="00880683" w:rsidRPr="00D92861">
        <w:rPr>
          <w:rFonts w:ascii="Arial" w:hAnsi="Arial" w:cs="Arial"/>
          <w:lang w:val="en-US"/>
        </w:rPr>
        <w:t xml:space="preserve"> </w:t>
      </w:r>
      <w:r w:rsidRPr="00D92861">
        <w:rPr>
          <w:rFonts w:ascii="Arial" w:hAnsi="Arial" w:cs="Arial"/>
          <w:lang w:val="en-US"/>
        </w:rPr>
        <w:t xml:space="preserve">the Court to agree </w:t>
      </w:r>
      <w:r w:rsidR="00880683">
        <w:rPr>
          <w:rFonts w:ascii="Arial" w:hAnsi="Arial" w:cs="Arial"/>
          <w:lang w:val="en-US"/>
        </w:rPr>
        <w:t>to</w:t>
      </w:r>
      <w:r w:rsidR="00880683" w:rsidRPr="00D92861">
        <w:rPr>
          <w:rFonts w:ascii="Arial" w:hAnsi="Arial" w:cs="Arial"/>
          <w:lang w:val="en-US"/>
        </w:rPr>
        <w:t xml:space="preserve"> </w:t>
      </w:r>
      <w:r w:rsidRPr="00D92861">
        <w:rPr>
          <w:rFonts w:ascii="Arial" w:hAnsi="Arial" w:cs="Arial"/>
          <w:lang w:val="en-US"/>
        </w:rPr>
        <w:t>the limitation of patent ES 348 according to the terms of the “most subsidiary” amendment request, and in</w:t>
      </w:r>
      <w:r w:rsidR="00BA6C91" w:rsidRPr="00D92861">
        <w:rPr>
          <w:rFonts w:ascii="Arial" w:hAnsi="Arial" w:cs="Arial"/>
          <w:lang w:val="en-US"/>
        </w:rPr>
        <w:t xml:space="preserve"> </w:t>
      </w:r>
      <w:r w:rsidR="00284BC6">
        <w:rPr>
          <w:rFonts w:ascii="Arial" w:hAnsi="Arial" w:cs="Arial"/>
          <w:lang w:val="en-US"/>
        </w:rPr>
        <w:t xml:space="preserve">the </w:t>
      </w:r>
      <w:r w:rsidR="00BA6C91" w:rsidRPr="00D92861">
        <w:rPr>
          <w:rFonts w:ascii="Arial" w:hAnsi="Arial" w:cs="Arial"/>
          <w:lang w:val="en-US"/>
        </w:rPr>
        <w:t>absence of opposition by the plaintiffs,</w:t>
      </w:r>
      <w:r w:rsidR="005062BE" w:rsidRPr="00D92861">
        <w:rPr>
          <w:rFonts w:ascii="Arial" w:hAnsi="Arial" w:cs="Arial"/>
          <w:lang w:val="en-US"/>
        </w:rPr>
        <w:t xml:space="preserve"> Commercial Court </w:t>
      </w:r>
      <w:r w:rsidR="008C5A96">
        <w:rPr>
          <w:rFonts w:ascii="Arial" w:hAnsi="Arial" w:cs="Arial"/>
          <w:lang w:val="en-US"/>
        </w:rPr>
        <w:t>N</w:t>
      </w:r>
      <w:r w:rsidR="00767445" w:rsidRPr="00D92861">
        <w:rPr>
          <w:rFonts w:ascii="Arial" w:hAnsi="Arial" w:cs="Arial"/>
          <w:lang w:val="en-US"/>
        </w:rPr>
        <w:t xml:space="preserve">o. 5 </w:t>
      </w:r>
      <w:r w:rsidR="00BA6C91" w:rsidRPr="00D92861">
        <w:rPr>
          <w:rFonts w:ascii="Arial" w:hAnsi="Arial" w:cs="Arial"/>
          <w:lang w:val="en-US"/>
        </w:rPr>
        <w:t xml:space="preserve">accepted the limitation </w:t>
      </w:r>
      <w:r w:rsidR="005062BE" w:rsidRPr="00D92861">
        <w:rPr>
          <w:rFonts w:ascii="Arial" w:hAnsi="Arial" w:cs="Arial"/>
          <w:lang w:val="en-US"/>
        </w:rPr>
        <w:t>during the pre-trial hearing.</w:t>
      </w:r>
      <w:r w:rsidR="002E73EB" w:rsidRPr="00D92861">
        <w:rPr>
          <w:rFonts w:ascii="Arial" w:hAnsi="Arial" w:cs="Arial"/>
          <w:lang w:val="en-US"/>
        </w:rPr>
        <w:t xml:space="preserve"> </w:t>
      </w:r>
    </w:p>
    <w:p w:rsidR="002E73EB" w:rsidRPr="00D92861" w:rsidRDefault="00767E08" w:rsidP="009E764B">
      <w:pPr>
        <w:jc w:val="both"/>
        <w:rPr>
          <w:rFonts w:ascii="Arial" w:hAnsi="Arial" w:cs="Arial"/>
          <w:lang w:val="en-US"/>
        </w:rPr>
      </w:pPr>
      <w:r w:rsidRPr="00D92861">
        <w:rPr>
          <w:rFonts w:ascii="Arial" w:hAnsi="Arial" w:cs="Arial"/>
          <w:lang w:val="en-US"/>
        </w:rPr>
        <w:t>Finally, a</w:t>
      </w:r>
      <w:r w:rsidR="00B67A19" w:rsidRPr="00D92861">
        <w:rPr>
          <w:rFonts w:ascii="Arial" w:hAnsi="Arial" w:cs="Arial"/>
          <w:lang w:val="en-US"/>
        </w:rPr>
        <w:t xml:space="preserve">fter the amendment, </w:t>
      </w:r>
      <w:r w:rsidRPr="00D92861">
        <w:rPr>
          <w:rFonts w:ascii="Arial" w:hAnsi="Arial" w:cs="Arial"/>
          <w:lang w:val="en-US"/>
        </w:rPr>
        <w:t xml:space="preserve"> claim 1</w:t>
      </w:r>
      <w:r w:rsidR="00B67A19" w:rsidRPr="00D92861">
        <w:rPr>
          <w:rFonts w:ascii="Arial" w:hAnsi="Arial" w:cs="Arial"/>
          <w:lang w:val="en-US"/>
        </w:rPr>
        <w:t xml:space="preserve"> no longer protect</w:t>
      </w:r>
      <w:r w:rsidR="00287492">
        <w:rPr>
          <w:rFonts w:ascii="Arial" w:hAnsi="Arial" w:cs="Arial"/>
          <w:lang w:val="en-US"/>
        </w:rPr>
        <w:t>ed</w:t>
      </w:r>
      <w:r w:rsidR="00B67A19" w:rsidRPr="00D92861">
        <w:rPr>
          <w:rFonts w:ascii="Arial" w:hAnsi="Arial" w:cs="Arial"/>
          <w:lang w:val="en-US"/>
        </w:rPr>
        <w:t xml:space="preserve"> the use of </w:t>
      </w:r>
      <w:proofErr w:type="spellStart"/>
      <w:r w:rsidR="00B67A19" w:rsidRPr="00D92861">
        <w:rPr>
          <w:rFonts w:ascii="Arial" w:hAnsi="Arial" w:cs="Arial"/>
          <w:lang w:val="en-US"/>
        </w:rPr>
        <w:t>valganciclovir</w:t>
      </w:r>
      <w:proofErr w:type="spellEnd"/>
      <w:r w:rsidR="00B67A19" w:rsidRPr="00D92861">
        <w:rPr>
          <w:rFonts w:ascii="Arial" w:hAnsi="Arial" w:cs="Arial"/>
          <w:lang w:val="en-US"/>
        </w:rPr>
        <w:t xml:space="preserve"> as such, but instead protected </w:t>
      </w:r>
      <w:r w:rsidR="007B7430" w:rsidRPr="00D92861">
        <w:rPr>
          <w:rFonts w:ascii="Arial" w:hAnsi="Arial" w:cs="Arial"/>
          <w:lang w:val="en-US"/>
        </w:rPr>
        <w:t xml:space="preserve">the use of </w:t>
      </w:r>
      <w:proofErr w:type="spellStart"/>
      <w:r w:rsidR="00B67A19" w:rsidRPr="00D92861">
        <w:rPr>
          <w:rFonts w:ascii="Arial" w:hAnsi="Arial" w:cs="Arial"/>
          <w:lang w:val="en-US"/>
        </w:rPr>
        <w:t>valganciclovir</w:t>
      </w:r>
      <w:proofErr w:type="spellEnd"/>
      <w:r w:rsidR="00B67A19" w:rsidRPr="00D92861">
        <w:rPr>
          <w:rFonts w:ascii="Arial" w:hAnsi="Arial" w:cs="Arial"/>
          <w:lang w:val="en-US"/>
        </w:rPr>
        <w:t xml:space="preserve"> hydrochloride in the form of mixtures of its (R)- and (S)- </w:t>
      </w:r>
      <w:proofErr w:type="spellStart"/>
      <w:r w:rsidR="00B67A19" w:rsidRPr="00D92861">
        <w:rPr>
          <w:rFonts w:ascii="Arial" w:hAnsi="Arial" w:cs="Arial"/>
          <w:lang w:val="en-US"/>
        </w:rPr>
        <w:t>diastereomers</w:t>
      </w:r>
      <w:proofErr w:type="spellEnd"/>
      <w:r w:rsidR="00B67A19" w:rsidRPr="00D92861">
        <w:rPr>
          <w:rFonts w:ascii="Arial" w:hAnsi="Arial" w:cs="Arial"/>
          <w:lang w:val="en-US"/>
        </w:rPr>
        <w:t>, as a therapeutically</w:t>
      </w:r>
      <w:r w:rsidR="008C5A96">
        <w:rPr>
          <w:rFonts w:ascii="Arial" w:hAnsi="Arial" w:cs="Arial"/>
          <w:lang w:val="en-US"/>
        </w:rPr>
        <w:t>-</w:t>
      </w:r>
      <w:r w:rsidR="00B67A19" w:rsidRPr="00D92861">
        <w:rPr>
          <w:rFonts w:ascii="Arial" w:hAnsi="Arial" w:cs="Arial"/>
          <w:lang w:val="en-US"/>
        </w:rPr>
        <w:t>active agent.</w:t>
      </w:r>
    </w:p>
    <w:p w:rsidR="007B7430" w:rsidRPr="00D92861" w:rsidRDefault="005062BE" w:rsidP="004543FF">
      <w:pPr>
        <w:jc w:val="both"/>
        <w:rPr>
          <w:rFonts w:ascii="Arial" w:hAnsi="Arial" w:cs="Arial"/>
          <w:lang w:val="en-US"/>
        </w:rPr>
      </w:pPr>
      <w:r w:rsidRPr="00D92861">
        <w:rPr>
          <w:rFonts w:ascii="Arial" w:hAnsi="Arial" w:cs="Arial"/>
          <w:lang w:val="en-US"/>
        </w:rPr>
        <w:t xml:space="preserve">After said amendment, the plaintiffs </w:t>
      </w:r>
      <w:r w:rsidR="00465358" w:rsidRPr="00D92861">
        <w:rPr>
          <w:rFonts w:ascii="Arial" w:hAnsi="Arial" w:cs="Arial"/>
          <w:lang w:val="en-US"/>
        </w:rPr>
        <w:t xml:space="preserve">dropped the novelty attack but </w:t>
      </w:r>
      <w:r w:rsidRPr="00D92861">
        <w:rPr>
          <w:rFonts w:ascii="Arial" w:hAnsi="Arial" w:cs="Arial"/>
          <w:lang w:val="en-US"/>
        </w:rPr>
        <w:t xml:space="preserve">maintained the lack of inventive step </w:t>
      </w:r>
      <w:r w:rsidR="00465358" w:rsidRPr="00D92861">
        <w:rPr>
          <w:rFonts w:ascii="Arial" w:hAnsi="Arial" w:cs="Arial"/>
          <w:lang w:val="en-US"/>
        </w:rPr>
        <w:t>attack</w:t>
      </w:r>
      <w:r w:rsidR="00580FA3" w:rsidRPr="00D92861">
        <w:rPr>
          <w:rFonts w:ascii="Arial" w:hAnsi="Arial" w:cs="Arial"/>
          <w:lang w:val="en-US"/>
        </w:rPr>
        <w:t xml:space="preserve">. </w:t>
      </w:r>
      <w:r w:rsidR="00B67A19" w:rsidRPr="00D92861">
        <w:rPr>
          <w:rFonts w:ascii="Arial" w:hAnsi="Arial" w:cs="Arial"/>
          <w:lang w:val="en-US"/>
        </w:rPr>
        <w:t xml:space="preserve">Barcelona Commercial Court No. 5 </w:t>
      </w:r>
      <w:r w:rsidR="008616B7" w:rsidRPr="00D92861">
        <w:rPr>
          <w:rFonts w:ascii="Arial" w:hAnsi="Arial" w:cs="Arial"/>
          <w:lang w:val="en-US"/>
        </w:rPr>
        <w:t xml:space="preserve">rendered its decision on </w:t>
      </w:r>
      <w:r w:rsidR="00B67A19" w:rsidRPr="00D92861">
        <w:rPr>
          <w:rFonts w:ascii="Arial" w:hAnsi="Arial" w:cs="Arial"/>
          <w:lang w:val="en-US"/>
        </w:rPr>
        <w:t xml:space="preserve">September 14, 2015, </w:t>
      </w:r>
      <w:r w:rsidR="008616B7" w:rsidRPr="00D92861">
        <w:rPr>
          <w:rFonts w:ascii="Arial" w:hAnsi="Arial" w:cs="Arial"/>
          <w:lang w:val="en-US"/>
        </w:rPr>
        <w:t>declaring</w:t>
      </w:r>
      <w:r w:rsidR="004543FF" w:rsidRPr="00D92861">
        <w:rPr>
          <w:rFonts w:ascii="Arial" w:hAnsi="Arial" w:cs="Arial"/>
          <w:lang w:val="en-US"/>
        </w:rPr>
        <w:t xml:space="preserve"> the nullity </w:t>
      </w:r>
      <w:r w:rsidR="00465358" w:rsidRPr="00D92861">
        <w:rPr>
          <w:rFonts w:ascii="Arial" w:hAnsi="Arial" w:cs="Arial"/>
          <w:lang w:val="en-US"/>
        </w:rPr>
        <w:t xml:space="preserve">of </w:t>
      </w:r>
      <w:r w:rsidR="004543FF" w:rsidRPr="00D92861">
        <w:rPr>
          <w:rFonts w:ascii="Arial" w:hAnsi="Arial" w:cs="Arial"/>
          <w:lang w:val="en-US"/>
        </w:rPr>
        <w:t xml:space="preserve">ES 348 </w:t>
      </w:r>
      <w:r w:rsidR="00B67A19" w:rsidRPr="00D92861">
        <w:rPr>
          <w:rFonts w:ascii="Arial" w:hAnsi="Arial" w:cs="Arial"/>
          <w:lang w:val="en-US"/>
        </w:rPr>
        <w:t>due to</w:t>
      </w:r>
      <w:r w:rsidR="00465358" w:rsidRPr="00D92861">
        <w:rPr>
          <w:rFonts w:ascii="Arial" w:hAnsi="Arial" w:cs="Arial"/>
          <w:lang w:val="en-US"/>
        </w:rPr>
        <w:t xml:space="preserve"> lack of inventive step. </w:t>
      </w:r>
    </w:p>
    <w:p w:rsidR="002E73EB" w:rsidRPr="00D92861" w:rsidRDefault="00465358" w:rsidP="004543FF">
      <w:pPr>
        <w:jc w:val="both"/>
        <w:rPr>
          <w:rFonts w:ascii="Arial" w:hAnsi="Arial" w:cs="Arial"/>
          <w:lang w:val="en-US"/>
        </w:rPr>
      </w:pPr>
      <w:r w:rsidRPr="00D92861">
        <w:rPr>
          <w:rFonts w:ascii="Arial" w:hAnsi="Arial" w:cs="Arial"/>
          <w:lang w:val="en-US"/>
        </w:rPr>
        <w:t>Roche a</w:t>
      </w:r>
      <w:r w:rsidR="00493D7D" w:rsidRPr="00D92861">
        <w:rPr>
          <w:rFonts w:ascii="Arial" w:hAnsi="Arial" w:cs="Arial"/>
          <w:lang w:val="en-US"/>
        </w:rPr>
        <w:t>ppealed said decision, alleging lack of reasoning and wrongful assessment of the evidence</w:t>
      </w:r>
      <w:r w:rsidR="00AA4A3B" w:rsidRPr="00D92861">
        <w:rPr>
          <w:rFonts w:ascii="Arial" w:hAnsi="Arial" w:cs="Arial"/>
          <w:lang w:val="en-US"/>
        </w:rPr>
        <w:t xml:space="preserve">. It </w:t>
      </w:r>
      <w:r w:rsidR="00AD73C8">
        <w:rPr>
          <w:rFonts w:ascii="Arial" w:hAnsi="Arial" w:cs="Arial"/>
          <w:lang w:val="en-US"/>
        </w:rPr>
        <w:t>argued</w:t>
      </w:r>
      <w:r w:rsidRPr="00D92861">
        <w:rPr>
          <w:rFonts w:ascii="Arial" w:hAnsi="Arial" w:cs="Arial"/>
          <w:lang w:val="en-US"/>
        </w:rPr>
        <w:t xml:space="preserve">, among other reasons, that </w:t>
      </w:r>
      <w:r w:rsidR="00AA4A3B" w:rsidRPr="00D92861">
        <w:rPr>
          <w:rFonts w:ascii="Arial" w:hAnsi="Arial" w:cs="Arial"/>
          <w:lang w:val="en-US"/>
        </w:rPr>
        <w:t xml:space="preserve">the Commercial Court had not correctly applied the problem-solution approach and that </w:t>
      </w:r>
      <w:r w:rsidR="004E4133" w:rsidRPr="00D92861">
        <w:rPr>
          <w:rFonts w:ascii="Arial" w:hAnsi="Arial" w:cs="Arial"/>
          <w:lang w:val="en-US"/>
        </w:rPr>
        <w:t xml:space="preserve">it </w:t>
      </w:r>
      <w:r w:rsidRPr="00D92861">
        <w:rPr>
          <w:rFonts w:ascii="Arial" w:hAnsi="Arial" w:cs="Arial"/>
          <w:lang w:val="en-US"/>
        </w:rPr>
        <w:t xml:space="preserve">had taken into account the </w:t>
      </w:r>
      <w:proofErr w:type="spellStart"/>
      <w:r w:rsidRPr="00D92861">
        <w:rPr>
          <w:rFonts w:ascii="Arial" w:hAnsi="Arial" w:cs="Arial"/>
          <w:i/>
          <w:lang w:val="en-US"/>
        </w:rPr>
        <w:t>D</w:t>
      </w:r>
      <w:r w:rsidR="009B0E57" w:rsidRPr="00D92861">
        <w:rPr>
          <w:rFonts w:ascii="Arial" w:hAnsi="Arial" w:cs="Arial"/>
          <w:i/>
          <w:lang w:val="en-US"/>
        </w:rPr>
        <w:t>rucke</w:t>
      </w:r>
      <w:r w:rsidRPr="00D92861">
        <w:rPr>
          <w:rFonts w:ascii="Arial" w:hAnsi="Arial" w:cs="Arial"/>
          <w:i/>
          <w:lang w:val="en-US"/>
        </w:rPr>
        <w:t>xemplar</w:t>
      </w:r>
      <w:proofErr w:type="spellEnd"/>
      <w:r w:rsidRPr="00D92861">
        <w:rPr>
          <w:rFonts w:ascii="Arial" w:hAnsi="Arial" w:cs="Arial"/>
          <w:lang w:val="en-US"/>
        </w:rPr>
        <w:t xml:space="preserve"> </w:t>
      </w:r>
      <w:r w:rsidR="00767E08" w:rsidRPr="00D92861">
        <w:rPr>
          <w:rFonts w:ascii="Arial" w:hAnsi="Arial" w:cs="Arial"/>
          <w:lang w:val="en-US"/>
        </w:rPr>
        <w:t xml:space="preserve">of the patent application EP 329 </w:t>
      </w:r>
      <w:r w:rsidRPr="00D92861">
        <w:rPr>
          <w:rFonts w:ascii="Arial" w:hAnsi="Arial" w:cs="Arial"/>
          <w:lang w:val="en-US"/>
        </w:rPr>
        <w:t>which</w:t>
      </w:r>
      <w:r w:rsidR="007C3BE9" w:rsidRPr="00D92861">
        <w:rPr>
          <w:rFonts w:ascii="Arial" w:hAnsi="Arial" w:cs="Arial"/>
          <w:lang w:val="en-US"/>
        </w:rPr>
        <w:t>,</w:t>
      </w:r>
      <w:r w:rsidRPr="00D92861">
        <w:rPr>
          <w:rFonts w:ascii="Arial" w:hAnsi="Arial" w:cs="Arial"/>
          <w:lang w:val="en-US"/>
        </w:rPr>
        <w:t xml:space="preserve"> according </w:t>
      </w:r>
      <w:r w:rsidR="00D645F9" w:rsidRPr="00D92861">
        <w:rPr>
          <w:rFonts w:ascii="Arial" w:hAnsi="Arial" w:cs="Arial"/>
          <w:lang w:val="en-US"/>
        </w:rPr>
        <w:t>to Roche</w:t>
      </w:r>
      <w:r w:rsidR="007C3BE9" w:rsidRPr="00D92861">
        <w:rPr>
          <w:rFonts w:ascii="Arial" w:hAnsi="Arial" w:cs="Arial"/>
          <w:lang w:val="en-US"/>
        </w:rPr>
        <w:t>,</w:t>
      </w:r>
      <w:r w:rsidR="00D645F9" w:rsidRPr="00D92861">
        <w:rPr>
          <w:rFonts w:ascii="Arial" w:hAnsi="Arial" w:cs="Arial"/>
          <w:lang w:val="en-US"/>
        </w:rPr>
        <w:t xml:space="preserve"> </w:t>
      </w:r>
      <w:r w:rsidR="00767E08" w:rsidRPr="00D92861">
        <w:rPr>
          <w:rFonts w:ascii="Arial" w:hAnsi="Arial" w:cs="Arial"/>
          <w:lang w:val="en-US"/>
        </w:rPr>
        <w:t xml:space="preserve"> was not prior art </w:t>
      </w:r>
      <w:r w:rsidR="00B2340C">
        <w:rPr>
          <w:rFonts w:ascii="Arial" w:hAnsi="Arial" w:cs="Arial"/>
          <w:lang w:val="en-US"/>
        </w:rPr>
        <w:t>with regard to</w:t>
      </w:r>
      <w:r w:rsidR="00AD73C8" w:rsidRPr="00D92861">
        <w:rPr>
          <w:rFonts w:ascii="Arial" w:hAnsi="Arial" w:cs="Arial"/>
          <w:lang w:val="en-US"/>
        </w:rPr>
        <w:t xml:space="preserve"> </w:t>
      </w:r>
      <w:r w:rsidR="00767E08" w:rsidRPr="00D92861">
        <w:rPr>
          <w:rFonts w:ascii="Arial" w:hAnsi="Arial" w:cs="Arial"/>
          <w:lang w:val="en-US"/>
        </w:rPr>
        <w:t>EP 547.</w:t>
      </w:r>
      <w:r w:rsidR="00D645F9" w:rsidRPr="00D92861">
        <w:rPr>
          <w:rFonts w:ascii="Arial" w:hAnsi="Arial" w:cs="Arial"/>
          <w:lang w:val="en-US"/>
        </w:rPr>
        <w:t xml:space="preserve"> </w:t>
      </w:r>
    </w:p>
    <w:p w:rsidR="00553C98" w:rsidRPr="00D92861" w:rsidRDefault="00B67A19" w:rsidP="002E73EB">
      <w:pPr>
        <w:jc w:val="both"/>
        <w:rPr>
          <w:rFonts w:ascii="Arial" w:hAnsi="Arial" w:cs="Arial"/>
          <w:lang w:val="en-US"/>
        </w:rPr>
      </w:pPr>
      <w:proofErr w:type="spellStart"/>
      <w:r w:rsidRPr="00D92861">
        <w:rPr>
          <w:rFonts w:ascii="Arial" w:hAnsi="Arial" w:cs="Arial"/>
          <w:lang w:val="en-US"/>
        </w:rPr>
        <w:lastRenderedPageBreak/>
        <w:t>Teva</w:t>
      </w:r>
      <w:proofErr w:type="spellEnd"/>
      <w:r w:rsidRPr="00D92861">
        <w:rPr>
          <w:rFonts w:ascii="Arial" w:hAnsi="Arial" w:cs="Arial"/>
          <w:lang w:val="en-US"/>
        </w:rPr>
        <w:t xml:space="preserve"> and </w:t>
      </w:r>
      <w:proofErr w:type="spellStart"/>
      <w:r w:rsidRPr="00D92861">
        <w:rPr>
          <w:rFonts w:ascii="Arial" w:hAnsi="Arial" w:cs="Arial"/>
          <w:lang w:val="en-US"/>
        </w:rPr>
        <w:t>Ratiopharma</w:t>
      </w:r>
      <w:proofErr w:type="spellEnd"/>
      <w:r w:rsidR="004543FF" w:rsidRPr="00D92861">
        <w:rPr>
          <w:rFonts w:ascii="Arial" w:hAnsi="Arial" w:cs="Arial"/>
          <w:lang w:val="en-US"/>
        </w:rPr>
        <w:t xml:space="preserve"> opposed the appeal, requesting </w:t>
      </w:r>
      <w:r w:rsidR="00531812" w:rsidRPr="00D92861">
        <w:rPr>
          <w:rFonts w:ascii="Arial" w:hAnsi="Arial" w:cs="Arial"/>
          <w:lang w:val="en-US"/>
        </w:rPr>
        <w:t>the confirmation of the First Instance decision</w:t>
      </w:r>
      <w:r w:rsidR="004543FF" w:rsidRPr="00D92861">
        <w:rPr>
          <w:rFonts w:ascii="Arial" w:hAnsi="Arial" w:cs="Arial"/>
          <w:lang w:val="en-US"/>
        </w:rPr>
        <w:t xml:space="preserve">. The </w:t>
      </w:r>
      <w:r w:rsidR="002E73EB" w:rsidRPr="00D92861">
        <w:rPr>
          <w:rFonts w:ascii="Arial" w:hAnsi="Arial" w:cs="Arial"/>
          <w:lang w:val="en-US"/>
        </w:rPr>
        <w:t>opposition</w:t>
      </w:r>
      <w:r w:rsidR="004543FF" w:rsidRPr="00D92861">
        <w:rPr>
          <w:rFonts w:ascii="Arial" w:hAnsi="Arial" w:cs="Arial"/>
          <w:lang w:val="en-US"/>
        </w:rPr>
        <w:t xml:space="preserve"> </w:t>
      </w:r>
      <w:r w:rsidR="00553C98" w:rsidRPr="00D92861">
        <w:rPr>
          <w:rFonts w:ascii="Arial" w:hAnsi="Arial" w:cs="Arial"/>
          <w:lang w:val="en-US"/>
        </w:rPr>
        <w:t xml:space="preserve">to the appeal </w:t>
      </w:r>
      <w:r w:rsidR="004543FF" w:rsidRPr="00D92861">
        <w:rPr>
          <w:rFonts w:ascii="Arial" w:hAnsi="Arial" w:cs="Arial"/>
          <w:lang w:val="en-US"/>
        </w:rPr>
        <w:t>highlights</w:t>
      </w:r>
      <w:r w:rsidR="006B0B27" w:rsidRPr="00D92861">
        <w:rPr>
          <w:rFonts w:ascii="Arial" w:hAnsi="Arial" w:cs="Arial"/>
          <w:lang w:val="en-US"/>
        </w:rPr>
        <w:t xml:space="preserve"> an essential </w:t>
      </w:r>
      <w:r w:rsidR="001F1B49">
        <w:rPr>
          <w:rFonts w:ascii="Arial" w:hAnsi="Arial" w:cs="Arial"/>
          <w:lang w:val="en-US"/>
        </w:rPr>
        <w:t>fact</w:t>
      </w:r>
      <w:r w:rsidR="006B0B27" w:rsidRPr="00D92861">
        <w:rPr>
          <w:rFonts w:ascii="Arial" w:hAnsi="Arial" w:cs="Arial"/>
          <w:lang w:val="en-US"/>
        </w:rPr>
        <w:t>:</w:t>
      </w:r>
      <w:r w:rsidR="004543FF" w:rsidRPr="00D92861">
        <w:rPr>
          <w:rFonts w:ascii="Arial" w:hAnsi="Arial" w:cs="Arial"/>
          <w:lang w:val="en-US"/>
        </w:rPr>
        <w:t xml:space="preserve"> voluntary modification of the patent </w:t>
      </w:r>
      <w:r w:rsidR="00531812" w:rsidRPr="00D92861">
        <w:rPr>
          <w:rFonts w:ascii="Arial" w:hAnsi="Arial" w:cs="Arial"/>
          <w:lang w:val="en-US"/>
        </w:rPr>
        <w:t>at stake</w:t>
      </w:r>
      <w:r w:rsidR="004543FF" w:rsidRPr="00D92861">
        <w:rPr>
          <w:rFonts w:ascii="Arial" w:hAnsi="Arial" w:cs="Arial"/>
          <w:lang w:val="en-US"/>
        </w:rPr>
        <w:t xml:space="preserve">. </w:t>
      </w:r>
      <w:r w:rsidR="00531812" w:rsidRPr="00D92861">
        <w:rPr>
          <w:rFonts w:ascii="Arial" w:hAnsi="Arial" w:cs="Arial"/>
          <w:lang w:val="en-US"/>
        </w:rPr>
        <w:t>Thus</w:t>
      </w:r>
      <w:r w:rsidR="004543FF" w:rsidRPr="00D92861">
        <w:rPr>
          <w:rFonts w:ascii="Arial" w:hAnsi="Arial" w:cs="Arial"/>
          <w:lang w:val="en-US"/>
        </w:rPr>
        <w:t>, R</w:t>
      </w:r>
      <w:r w:rsidR="00531812" w:rsidRPr="00D92861">
        <w:rPr>
          <w:rFonts w:ascii="Arial" w:hAnsi="Arial" w:cs="Arial"/>
          <w:lang w:val="en-US"/>
        </w:rPr>
        <w:t>oche</w:t>
      </w:r>
      <w:r w:rsidR="004543FF" w:rsidRPr="00D92861">
        <w:rPr>
          <w:rFonts w:ascii="Arial" w:hAnsi="Arial" w:cs="Arial"/>
          <w:lang w:val="en-US"/>
        </w:rPr>
        <w:t xml:space="preserve"> declined to defend the patentab</w:t>
      </w:r>
      <w:r w:rsidR="00531812" w:rsidRPr="00D92861">
        <w:rPr>
          <w:rFonts w:ascii="Arial" w:hAnsi="Arial" w:cs="Arial"/>
          <w:lang w:val="en-US"/>
        </w:rPr>
        <w:t xml:space="preserve">ility of </w:t>
      </w:r>
      <w:proofErr w:type="spellStart"/>
      <w:r w:rsidR="00531812" w:rsidRPr="00D92861">
        <w:rPr>
          <w:rFonts w:ascii="Arial" w:hAnsi="Arial" w:cs="Arial"/>
          <w:lang w:val="en-US"/>
        </w:rPr>
        <w:t>valganciclovir</w:t>
      </w:r>
      <w:proofErr w:type="spellEnd"/>
      <w:r w:rsidR="00531812" w:rsidRPr="00D92861">
        <w:rPr>
          <w:rFonts w:ascii="Arial" w:hAnsi="Arial" w:cs="Arial"/>
          <w:lang w:val="en-US"/>
        </w:rPr>
        <w:t xml:space="preserve"> as </w:t>
      </w:r>
      <w:r w:rsidR="002E73EB" w:rsidRPr="00D92861">
        <w:rPr>
          <w:rFonts w:ascii="Arial" w:hAnsi="Arial" w:cs="Arial"/>
          <w:lang w:val="en-US"/>
        </w:rPr>
        <w:t>protected by the granted patent</w:t>
      </w:r>
      <w:r w:rsidR="005A728D">
        <w:rPr>
          <w:rFonts w:ascii="Arial" w:hAnsi="Arial" w:cs="Arial"/>
          <w:lang w:val="en-US"/>
        </w:rPr>
        <w:t>,</w:t>
      </w:r>
      <w:r w:rsidR="00553C98" w:rsidRPr="00D92861">
        <w:rPr>
          <w:rFonts w:ascii="Arial" w:hAnsi="Arial" w:cs="Arial"/>
          <w:lang w:val="en-US"/>
        </w:rPr>
        <w:t xml:space="preserve"> and added three features: </w:t>
      </w:r>
    </w:p>
    <w:p w:rsidR="00FF5039" w:rsidRPr="00D92861" w:rsidRDefault="00FF5039" w:rsidP="00FF5039">
      <w:pPr>
        <w:pStyle w:val="Lijstalinea"/>
        <w:numPr>
          <w:ilvl w:val="0"/>
          <w:numId w:val="2"/>
        </w:numPr>
        <w:jc w:val="both"/>
        <w:rPr>
          <w:rFonts w:ascii="Arial" w:hAnsi="Arial" w:cs="Arial"/>
          <w:lang w:val="en-US"/>
        </w:rPr>
      </w:pPr>
      <w:r w:rsidRPr="00D92861">
        <w:rPr>
          <w:rFonts w:ascii="Arial" w:hAnsi="Arial" w:cs="Arial"/>
          <w:lang w:val="en-US"/>
        </w:rPr>
        <w:t>It must be presented in the form of hydrochloride salt</w:t>
      </w:r>
    </w:p>
    <w:p w:rsidR="00553C98" w:rsidRPr="00D92861" w:rsidRDefault="00FF5039" w:rsidP="00553C98">
      <w:pPr>
        <w:pStyle w:val="Lijstalinea"/>
        <w:numPr>
          <w:ilvl w:val="0"/>
          <w:numId w:val="2"/>
        </w:numPr>
        <w:jc w:val="both"/>
        <w:rPr>
          <w:rFonts w:ascii="Arial" w:hAnsi="Arial" w:cs="Arial"/>
          <w:lang w:val="en-US"/>
        </w:rPr>
      </w:pPr>
      <w:r w:rsidRPr="00D92861">
        <w:rPr>
          <w:rFonts w:ascii="Arial" w:hAnsi="Arial" w:cs="Arial"/>
          <w:lang w:val="en-US"/>
        </w:rPr>
        <w:t xml:space="preserve">It must be </w:t>
      </w:r>
      <w:r w:rsidR="008F7648" w:rsidRPr="00D92861">
        <w:rPr>
          <w:rFonts w:ascii="Arial" w:hAnsi="Arial" w:cs="Arial"/>
          <w:lang w:val="en-US"/>
        </w:rPr>
        <w:t>i</w:t>
      </w:r>
      <w:r w:rsidR="00553C98" w:rsidRPr="00D92861">
        <w:rPr>
          <w:rFonts w:ascii="Arial" w:hAnsi="Arial" w:cs="Arial"/>
          <w:lang w:val="en-US"/>
        </w:rPr>
        <w:t xml:space="preserve">n the form of mixtures of its </w:t>
      </w:r>
      <w:proofErr w:type="spellStart"/>
      <w:r w:rsidR="00553C98" w:rsidRPr="00D92861">
        <w:rPr>
          <w:rFonts w:ascii="Arial" w:hAnsi="Arial" w:cs="Arial"/>
          <w:lang w:val="en-US"/>
        </w:rPr>
        <w:t>diastereomers</w:t>
      </w:r>
      <w:proofErr w:type="spellEnd"/>
      <w:r w:rsidR="00553C98" w:rsidRPr="00D92861">
        <w:rPr>
          <w:rFonts w:ascii="Arial" w:hAnsi="Arial" w:cs="Arial"/>
          <w:lang w:val="en-US"/>
        </w:rPr>
        <w:t>.</w:t>
      </w:r>
    </w:p>
    <w:p w:rsidR="00553C98" w:rsidRPr="00D92861" w:rsidRDefault="005A728D" w:rsidP="00553C98">
      <w:pPr>
        <w:pStyle w:val="Lijstalinea"/>
        <w:numPr>
          <w:ilvl w:val="0"/>
          <w:numId w:val="2"/>
        </w:numPr>
        <w:jc w:val="both"/>
        <w:rPr>
          <w:rFonts w:ascii="Arial" w:hAnsi="Arial" w:cs="Arial"/>
          <w:lang w:val="en-US"/>
        </w:rPr>
      </w:pPr>
      <w:r>
        <w:rPr>
          <w:rFonts w:ascii="Arial" w:hAnsi="Arial" w:cs="Arial"/>
          <w:lang w:val="en-US"/>
        </w:rPr>
        <w:t>It must be</w:t>
      </w:r>
      <w:r w:rsidR="00FF5039" w:rsidRPr="00D92861">
        <w:rPr>
          <w:rFonts w:ascii="Arial" w:hAnsi="Arial" w:cs="Arial"/>
          <w:lang w:val="en-US"/>
        </w:rPr>
        <w:t xml:space="preserve"> </w:t>
      </w:r>
      <w:r w:rsidR="00553C98" w:rsidRPr="00D92861">
        <w:rPr>
          <w:rFonts w:ascii="Arial" w:hAnsi="Arial" w:cs="Arial"/>
          <w:lang w:val="en-US"/>
        </w:rPr>
        <w:t>use</w:t>
      </w:r>
      <w:r w:rsidR="00FF5039" w:rsidRPr="00D92861">
        <w:rPr>
          <w:rFonts w:ascii="Arial" w:hAnsi="Arial" w:cs="Arial"/>
          <w:lang w:val="en-US"/>
        </w:rPr>
        <w:t>d</w:t>
      </w:r>
      <w:r w:rsidR="00553C98" w:rsidRPr="00D92861">
        <w:rPr>
          <w:rFonts w:ascii="Arial" w:hAnsi="Arial" w:cs="Arial"/>
          <w:lang w:val="en-US"/>
        </w:rPr>
        <w:t xml:space="preserve"> as</w:t>
      </w:r>
      <w:r w:rsidR="000D4289">
        <w:rPr>
          <w:rFonts w:ascii="Arial" w:hAnsi="Arial" w:cs="Arial"/>
          <w:lang w:val="en-US"/>
        </w:rPr>
        <w:t xml:space="preserve"> a</w:t>
      </w:r>
      <w:r w:rsidR="00553C98" w:rsidRPr="00D92861">
        <w:rPr>
          <w:rFonts w:ascii="Arial" w:hAnsi="Arial" w:cs="Arial"/>
          <w:lang w:val="en-US"/>
        </w:rPr>
        <w:t xml:space="preserve"> therapeutically active agent.</w:t>
      </w:r>
    </w:p>
    <w:p w:rsidR="009E764B" w:rsidRPr="00D92861" w:rsidRDefault="00553C98" w:rsidP="002E73EB">
      <w:pPr>
        <w:jc w:val="both"/>
        <w:rPr>
          <w:rFonts w:ascii="Arial" w:hAnsi="Arial" w:cs="Arial"/>
          <w:lang w:val="en-US"/>
        </w:rPr>
      </w:pPr>
      <w:r w:rsidRPr="00D92861">
        <w:rPr>
          <w:rFonts w:ascii="Arial" w:hAnsi="Arial" w:cs="Arial"/>
          <w:lang w:val="en-US"/>
        </w:rPr>
        <w:t>The plaintiffs</w:t>
      </w:r>
      <w:r w:rsidR="002E73EB" w:rsidRPr="00D92861">
        <w:rPr>
          <w:rFonts w:ascii="Arial" w:hAnsi="Arial" w:cs="Arial"/>
          <w:lang w:val="en-US"/>
        </w:rPr>
        <w:t xml:space="preserve"> also considered that none of the features added to the patent</w:t>
      </w:r>
      <w:r w:rsidR="008616B7" w:rsidRPr="00D92861">
        <w:rPr>
          <w:rFonts w:ascii="Arial" w:hAnsi="Arial" w:cs="Arial"/>
          <w:lang w:val="en-US"/>
        </w:rPr>
        <w:t xml:space="preserve"> by means of the limitation</w:t>
      </w:r>
      <w:r w:rsidRPr="00D92861">
        <w:rPr>
          <w:rFonts w:ascii="Arial" w:hAnsi="Arial" w:cs="Arial"/>
          <w:lang w:val="en-US"/>
        </w:rPr>
        <w:t xml:space="preserve"> </w:t>
      </w:r>
      <w:r w:rsidR="002E73EB" w:rsidRPr="00D92861">
        <w:rPr>
          <w:rFonts w:ascii="Arial" w:hAnsi="Arial" w:cs="Arial"/>
          <w:lang w:val="en-US"/>
        </w:rPr>
        <w:t xml:space="preserve">conferred inventiveness to the </w:t>
      </w:r>
      <w:r w:rsidR="00EC20EA">
        <w:rPr>
          <w:rFonts w:ascii="Arial" w:hAnsi="Arial" w:cs="Arial"/>
          <w:lang w:val="en-US"/>
        </w:rPr>
        <w:t xml:space="preserve">patent’s </w:t>
      </w:r>
      <w:r w:rsidR="002E73EB" w:rsidRPr="00D92861">
        <w:rPr>
          <w:rFonts w:ascii="Arial" w:hAnsi="Arial" w:cs="Arial"/>
          <w:lang w:val="en-US"/>
        </w:rPr>
        <w:t>subject</w:t>
      </w:r>
      <w:r w:rsidR="000D4289">
        <w:rPr>
          <w:rFonts w:ascii="Arial" w:hAnsi="Arial" w:cs="Arial"/>
          <w:lang w:val="en-US"/>
        </w:rPr>
        <w:t>-</w:t>
      </w:r>
      <w:r w:rsidR="002E73EB" w:rsidRPr="00D92861">
        <w:rPr>
          <w:rFonts w:ascii="Arial" w:hAnsi="Arial" w:cs="Arial"/>
          <w:lang w:val="en-US"/>
        </w:rPr>
        <w:t>matter.</w:t>
      </w:r>
    </w:p>
    <w:p w:rsidR="00531812" w:rsidRPr="00D92861" w:rsidRDefault="00531812" w:rsidP="004543FF">
      <w:pPr>
        <w:jc w:val="both"/>
        <w:rPr>
          <w:rFonts w:ascii="Arial" w:hAnsi="Arial" w:cs="Arial"/>
          <w:lang w:val="en-US"/>
        </w:rPr>
      </w:pPr>
      <w:r w:rsidRPr="00D92861">
        <w:rPr>
          <w:rFonts w:ascii="Arial" w:hAnsi="Arial" w:cs="Arial"/>
          <w:lang w:val="en-US"/>
        </w:rPr>
        <w:t xml:space="preserve">Both parties filed new exhibits before </w:t>
      </w:r>
      <w:r w:rsidR="00C66F0B" w:rsidRPr="00D92861">
        <w:rPr>
          <w:rFonts w:ascii="Arial" w:hAnsi="Arial" w:cs="Arial"/>
          <w:lang w:val="en-US"/>
        </w:rPr>
        <w:t>the Court of Appeal</w:t>
      </w:r>
      <w:r w:rsidR="000D4289">
        <w:rPr>
          <w:rFonts w:ascii="Arial" w:hAnsi="Arial" w:cs="Arial"/>
          <w:lang w:val="en-US"/>
        </w:rPr>
        <w:t>s</w:t>
      </w:r>
      <w:r w:rsidRPr="00D92861">
        <w:rPr>
          <w:rFonts w:ascii="Arial" w:hAnsi="Arial" w:cs="Arial"/>
          <w:lang w:val="en-US"/>
        </w:rPr>
        <w:t xml:space="preserve">. The defendant filed an expert report drafted by an Italian expert </w:t>
      </w:r>
      <w:r w:rsidR="000D4289">
        <w:rPr>
          <w:rFonts w:ascii="Arial" w:hAnsi="Arial" w:cs="Arial"/>
          <w:lang w:val="en-US"/>
        </w:rPr>
        <w:t>appointed</w:t>
      </w:r>
      <w:r w:rsidR="000D4289" w:rsidRPr="00D92861">
        <w:rPr>
          <w:rFonts w:ascii="Arial" w:hAnsi="Arial" w:cs="Arial"/>
          <w:lang w:val="en-US"/>
        </w:rPr>
        <w:t xml:space="preserve"> </w:t>
      </w:r>
      <w:r w:rsidRPr="00D92861">
        <w:rPr>
          <w:rFonts w:ascii="Arial" w:hAnsi="Arial" w:cs="Arial"/>
          <w:lang w:val="en-US"/>
        </w:rPr>
        <w:t xml:space="preserve">by </w:t>
      </w:r>
      <w:r w:rsidR="000D4289">
        <w:rPr>
          <w:rFonts w:ascii="Arial" w:hAnsi="Arial" w:cs="Arial"/>
          <w:lang w:val="en-US"/>
        </w:rPr>
        <w:t xml:space="preserve">the </w:t>
      </w:r>
      <w:r w:rsidR="00771E43" w:rsidRPr="00D92861">
        <w:rPr>
          <w:rFonts w:ascii="Arial" w:hAnsi="Arial" w:cs="Arial"/>
          <w:lang w:val="en-US"/>
        </w:rPr>
        <w:t>Court in the proceeding</w:t>
      </w:r>
      <w:r w:rsidR="000D4289">
        <w:rPr>
          <w:rFonts w:ascii="Arial" w:hAnsi="Arial" w:cs="Arial"/>
          <w:lang w:val="en-US"/>
        </w:rPr>
        <w:t>s</w:t>
      </w:r>
      <w:r w:rsidR="00771E43" w:rsidRPr="00D92861">
        <w:rPr>
          <w:rFonts w:ascii="Arial" w:hAnsi="Arial" w:cs="Arial"/>
          <w:lang w:val="en-US"/>
        </w:rPr>
        <w:t xml:space="preserve"> followed before the Courts </w:t>
      </w:r>
      <w:r w:rsidR="00553C98" w:rsidRPr="00D92861">
        <w:rPr>
          <w:rFonts w:ascii="Arial" w:hAnsi="Arial" w:cs="Arial"/>
          <w:lang w:val="en-US"/>
        </w:rPr>
        <w:t xml:space="preserve">of Milan </w:t>
      </w:r>
      <w:r w:rsidR="000D4289">
        <w:rPr>
          <w:rFonts w:ascii="Arial" w:hAnsi="Arial" w:cs="Arial"/>
          <w:lang w:val="en-US"/>
        </w:rPr>
        <w:t xml:space="preserve">that </w:t>
      </w:r>
      <w:r w:rsidR="00D75439">
        <w:rPr>
          <w:rFonts w:ascii="Arial" w:hAnsi="Arial" w:cs="Arial"/>
          <w:lang w:val="en-US"/>
        </w:rPr>
        <w:t xml:space="preserve">had </w:t>
      </w:r>
      <w:r w:rsidR="000D4289">
        <w:rPr>
          <w:rFonts w:ascii="Arial" w:hAnsi="Arial" w:cs="Arial"/>
          <w:lang w:val="en-US"/>
        </w:rPr>
        <w:t>heard</w:t>
      </w:r>
      <w:r w:rsidR="000D4289" w:rsidRPr="00D92861">
        <w:rPr>
          <w:rFonts w:ascii="Arial" w:hAnsi="Arial" w:cs="Arial"/>
          <w:lang w:val="en-US"/>
        </w:rPr>
        <w:t xml:space="preserve"> </w:t>
      </w:r>
      <w:r w:rsidR="00771E43" w:rsidRPr="00D92861">
        <w:rPr>
          <w:rFonts w:ascii="Arial" w:hAnsi="Arial" w:cs="Arial"/>
          <w:lang w:val="en-US"/>
        </w:rPr>
        <w:t xml:space="preserve">the </w:t>
      </w:r>
      <w:r w:rsidR="00553C98" w:rsidRPr="00D92861">
        <w:rPr>
          <w:rFonts w:ascii="Arial" w:hAnsi="Arial" w:cs="Arial"/>
          <w:lang w:val="en-US"/>
        </w:rPr>
        <w:t>validity</w:t>
      </w:r>
      <w:r w:rsidR="00771E43" w:rsidRPr="00D92861">
        <w:rPr>
          <w:rFonts w:ascii="Arial" w:hAnsi="Arial" w:cs="Arial"/>
          <w:lang w:val="en-US"/>
        </w:rPr>
        <w:t xml:space="preserve"> of the Italian part of EP 547. On the other hand, </w:t>
      </w:r>
      <w:proofErr w:type="spellStart"/>
      <w:r w:rsidR="00771E43" w:rsidRPr="00D92861">
        <w:rPr>
          <w:rFonts w:ascii="Arial" w:hAnsi="Arial" w:cs="Arial"/>
          <w:lang w:val="en-US"/>
        </w:rPr>
        <w:t>Teva</w:t>
      </w:r>
      <w:proofErr w:type="spellEnd"/>
      <w:r w:rsidR="00771E43" w:rsidRPr="00D92861">
        <w:rPr>
          <w:rFonts w:ascii="Arial" w:hAnsi="Arial" w:cs="Arial"/>
          <w:lang w:val="en-US"/>
        </w:rPr>
        <w:t xml:space="preserve"> and </w:t>
      </w:r>
      <w:proofErr w:type="spellStart"/>
      <w:r w:rsidR="00771E43" w:rsidRPr="00D92861">
        <w:rPr>
          <w:rFonts w:ascii="Arial" w:hAnsi="Arial" w:cs="Arial"/>
          <w:lang w:val="en-US"/>
        </w:rPr>
        <w:t>Ratiopharma</w:t>
      </w:r>
      <w:proofErr w:type="spellEnd"/>
      <w:r w:rsidR="00771E43" w:rsidRPr="00D92861">
        <w:rPr>
          <w:rFonts w:ascii="Arial" w:hAnsi="Arial" w:cs="Arial"/>
          <w:lang w:val="en-US"/>
        </w:rPr>
        <w:t xml:space="preserve"> filed the decision of the German Federal Supreme Court, issued on December 6, 2016</w:t>
      </w:r>
      <w:r w:rsidR="000D4289">
        <w:rPr>
          <w:rFonts w:ascii="Arial" w:hAnsi="Arial" w:cs="Arial"/>
          <w:lang w:val="en-US"/>
        </w:rPr>
        <w:t>,</w:t>
      </w:r>
      <w:r w:rsidR="00771E43" w:rsidRPr="00D92861">
        <w:rPr>
          <w:rFonts w:ascii="Arial" w:hAnsi="Arial" w:cs="Arial"/>
          <w:lang w:val="en-US"/>
        </w:rPr>
        <w:t xml:space="preserve"> which concluded that the patent at stake was </w:t>
      </w:r>
      <w:r w:rsidR="008616B7" w:rsidRPr="00D92861">
        <w:rPr>
          <w:rFonts w:ascii="Arial" w:hAnsi="Arial" w:cs="Arial"/>
          <w:lang w:val="en-US"/>
        </w:rPr>
        <w:t>void</w:t>
      </w:r>
      <w:r w:rsidR="00771E43" w:rsidRPr="00D92861">
        <w:rPr>
          <w:rFonts w:ascii="Arial" w:hAnsi="Arial" w:cs="Arial"/>
          <w:lang w:val="en-US"/>
        </w:rPr>
        <w:t xml:space="preserve">. The </w:t>
      </w:r>
      <w:r w:rsidR="00C66F0B" w:rsidRPr="00D92861">
        <w:rPr>
          <w:rFonts w:ascii="Arial" w:hAnsi="Arial" w:cs="Arial"/>
          <w:lang w:val="en-US"/>
        </w:rPr>
        <w:t>Court of Appeal</w:t>
      </w:r>
      <w:r w:rsidR="000D4289">
        <w:rPr>
          <w:rFonts w:ascii="Arial" w:hAnsi="Arial" w:cs="Arial"/>
          <w:lang w:val="en-US"/>
        </w:rPr>
        <w:t>s</w:t>
      </w:r>
      <w:r w:rsidR="00771E43" w:rsidRPr="00D92861">
        <w:rPr>
          <w:rFonts w:ascii="Arial" w:hAnsi="Arial" w:cs="Arial"/>
          <w:lang w:val="en-US"/>
        </w:rPr>
        <w:t xml:space="preserve"> accepted the filing of the German decision but expressed its doubts regarding the filing of the expert report. The </w:t>
      </w:r>
      <w:r w:rsidR="00493D7D" w:rsidRPr="00D92861">
        <w:rPr>
          <w:rFonts w:ascii="Arial" w:hAnsi="Arial" w:cs="Arial"/>
          <w:lang w:val="en-US"/>
        </w:rPr>
        <w:t>plaintiffs further contend</w:t>
      </w:r>
      <w:r w:rsidR="000D4289">
        <w:rPr>
          <w:rFonts w:ascii="Arial" w:hAnsi="Arial" w:cs="Arial"/>
          <w:lang w:val="en-US"/>
        </w:rPr>
        <w:t>ed</w:t>
      </w:r>
      <w:r w:rsidR="00771E43" w:rsidRPr="00D92861">
        <w:rPr>
          <w:rFonts w:ascii="Arial" w:hAnsi="Arial" w:cs="Arial"/>
          <w:lang w:val="en-US"/>
        </w:rPr>
        <w:t xml:space="preserve"> that the submission of the opinion at th</w:t>
      </w:r>
      <w:r w:rsidR="00553C98" w:rsidRPr="00D92861">
        <w:rPr>
          <w:rFonts w:ascii="Arial" w:hAnsi="Arial" w:cs="Arial"/>
          <w:lang w:val="en-US"/>
        </w:rPr>
        <w:t xml:space="preserve">at </w:t>
      </w:r>
      <w:r w:rsidR="00771E43" w:rsidRPr="00D92861">
        <w:rPr>
          <w:rFonts w:ascii="Arial" w:hAnsi="Arial" w:cs="Arial"/>
          <w:lang w:val="en-US"/>
        </w:rPr>
        <w:t xml:space="preserve">procedural stage prevented the parties from </w:t>
      </w:r>
      <w:r w:rsidR="00493D7D" w:rsidRPr="00D92861">
        <w:rPr>
          <w:rFonts w:ascii="Arial" w:hAnsi="Arial" w:cs="Arial"/>
          <w:lang w:val="en-US"/>
        </w:rPr>
        <w:t xml:space="preserve">requesting </w:t>
      </w:r>
      <w:r w:rsidR="00771E43" w:rsidRPr="00D92861">
        <w:rPr>
          <w:rFonts w:ascii="Arial" w:hAnsi="Arial" w:cs="Arial"/>
          <w:lang w:val="en-US"/>
        </w:rPr>
        <w:t>clarification from the expert or submi</w:t>
      </w:r>
      <w:r w:rsidR="00553C98" w:rsidRPr="00D92861">
        <w:rPr>
          <w:rFonts w:ascii="Arial" w:hAnsi="Arial" w:cs="Arial"/>
          <w:lang w:val="en-US"/>
        </w:rPr>
        <w:t>tting</w:t>
      </w:r>
      <w:r w:rsidR="00771E43" w:rsidRPr="00D92861">
        <w:rPr>
          <w:rFonts w:ascii="Arial" w:hAnsi="Arial" w:cs="Arial"/>
          <w:lang w:val="en-US"/>
        </w:rPr>
        <w:t xml:space="preserve"> new evidence t</w:t>
      </w:r>
      <w:r w:rsidR="008616B7" w:rsidRPr="00D92861">
        <w:rPr>
          <w:rFonts w:ascii="Arial" w:hAnsi="Arial" w:cs="Arial"/>
          <w:lang w:val="en-US"/>
        </w:rPr>
        <w:t>o</w:t>
      </w:r>
      <w:r w:rsidR="00771E43" w:rsidRPr="00D92861">
        <w:rPr>
          <w:rFonts w:ascii="Arial" w:hAnsi="Arial" w:cs="Arial"/>
          <w:lang w:val="en-US"/>
        </w:rPr>
        <w:t xml:space="preserve"> contradict </w:t>
      </w:r>
      <w:r w:rsidR="008923EB">
        <w:rPr>
          <w:rFonts w:ascii="Arial" w:hAnsi="Arial" w:cs="Arial"/>
          <w:lang w:val="en-US"/>
        </w:rPr>
        <w:t>the expert’s</w:t>
      </w:r>
      <w:r w:rsidR="008923EB" w:rsidRPr="00D92861">
        <w:rPr>
          <w:rFonts w:ascii="Arial" w:hAnsi="Arial" w:cs="Arial"/>
          <w:lang w:val="en-US"/>
        </w:rPr>
        <w:t xml:space="preserve"> </w:t>
      </w:r>
      <w:r w:rsidR="00771E43" w:rsidRPr="00D92861">
        <w:rPr>
          <w:rFonts w:ascii="Arial" w:hAnsi="Arial" w:cs="Arial"/>
          <w:lang w:val="en-US"/>
        </w:rPr>
        <w:t>conclusions.</w:t>
      </w:r>
    </w:p>
    <w:p w:rsidR="00771E43" w:rsidRPr="00D92861" w:rsidRDefault="00771E43" w:rsidP="004543FF">
      <w:pPr>
        <w:jc w:val="both"/>
        <w:rPr>
          <w:rFonts w:ascii="Arial" w:hAnsi="Arial" w:cs="Arial"/>
          <w:lang w:val="en-US"/>
        </w:rPr>
      </w:pPr>
      <w:r w:rsidRPr="00D92861">
        <w:rPr>
          <w:rFonts w:ascii="Arial" w:hAnsi="Arial" w:cs="Arial"/>
          <w:lang w:val="en-US"/>
        </w:rPr>
        <w:t xml:space="preserve">However, the </w:t>
      </w:r>
      <w:r w:rsidR="00C66F0B" w:rsidRPr="00D92861">
        <w:rPr>
          <w:rFonts w:ascii="Arial" w:hAnsi="Arial" w:cs="Arial"/>
          <w:lang w:val="en-US"/>
        </w:rPr>
        <w:t>Court of Appeal</w:t>
      </w:r>
      <w:r w:rsidR="00381704">
        <w:rPr>
          <w:rFonts w:ascii="Arial" w:hAnsi="Arial" w:cs="Arial"/>
          <w:lang w:val="en-US"/>
        </w:rPr>
        <w:t>s</w:t>
      </w:r>
      <w:r w:rsidRPr="00D92861">
        <w:rPr>
          <w:rFonts w:ascii="Arial" w:hAnsi="Arial" w:cs="Arial"/>
          <w:lang w:val="en-US"/>
        </w:rPr>
        <w:t xml:space="preserve"> understood that </w:t>
      </w:r>
      <w:r w:rsidR="00553C98" w:rsidRPr="00D92861">
        <w:rPr>
          <w:rFonts w:ascii="Arial" w:hAnsi="Arial" w:cs="Arial"/>
          <w:lang w:val="en-US"/>
        </w:rPr>
        <w:t>said</w:t>
      </w:r>
      <w:r w:rsidRPr="00D92861">
        <w:rPr>
          <w:rFonts w:ascii="Arial" w:hAnsi="Arial" w:cs="Arial"/>
          <w:lang w:val="en-US"/>
        </w:rPr>
        <w:t xml:space="preserve"> report ha</w:t>
      </w:r>
      <w:r w:rsidR="003A03E9" w:rsidRPr="00D92861">
        <w:rPr>
          <w:rFonts w:ascii="Arial" w:hAnsi="Arial" w:cs="Arial"/>
          <w:lang w:val="en-US"/>
        </w:rPr>
        <w:t xml:space="preserve">d </w:t>
      </w:r>
      <w:r w:rsidRPr="00D92861">
        <w:rPr>
          <w:rFonts w:ascii="Arial" w:hAnsi="Arial" w:cs="Arial"/>
          <w:lang w:val="en-US"/>
        </w:rPr>
        <w:t xml:space="preserve">been prepared </w:t>
      </w:r>
      <w:r w:rsidR="003A03E9" w:rsidRPr="00D92861">
        <w:rPr>
          <w:rFonts w:ascii="Arial" w:hAnsi="Arial" w:cs="Arial"/>
          <w:lang w:val="en-US"/>
        </w:rPr>
        <w:t>based on the grounds alleged</w:t>
      </w:r>
      <w:r w:rsidRPr="00D92861">
        <w:rPr>
          <w:rFonts w:ascii="Arial" w:hAnsi="Arial" w:cs="Arial"/>
          <w:lang w:val="en-US"/>
        </w:rPr>
        <w:t xml:space="preserve"> in th</w:t>
      </w:r>
      <w:r w:rsidR="003A03E9" w:rsidRPr="00D92861">
        <w:rPr>
          <w:rFonts w:ascii="Arial" w:hAnsi="Arial" w:cs="Arial"/>
          <w:lang w:val="en-US"/>
        </w:rPr>
        <w:t>e Italian</w:t>
      </w:r>
      <w:r w:rsidRPr="00D92861">
        <w:rPr>
          <w:rFonts w:ascii="Arial" w:hAnsi="Arial" w:cs="Arial"/>
          <w:lang w:val="en-US"/>
        </w:rPr>
        <w:t xml:space="preserve"> procedure, which may not </w:t>
      </w:r>
      <w:r w:rsidR="00381704">
        <w:rPr>
          <w:rFonts w:ascii="Arial" w:hAnsi="Arial" w:cs="Arial"/>
          <w:lang w:val="en-US"/>
        </w:rPr>
        <w:t xml:space="preserve">have </w:t>
      </w:r>
      <w:r w:rsidRPr="00D92861">
        <w:rPr>
          <w:rFonts w:ascii="Arial" w:hAnsi="Arial" w:cs="Arial"/>
          <w:lang w:val="en-US"/>
        </w:rPr>
        <w:t>coincide</w:t>
      </w:r>
      <w:r w:rsidR="00381704">
        <w:rPr>
          <w:rFonts w:ascii="Arial" w:hAnsi="Arial" w:cs="Arial"/>
          <w:lang w:val="en-US"/>
        </w:rPr>
        <w:t>d</w:t>
      </w:r>
      <w:r w:rsidRPr="00D92861">
        <w:rPr>
          <w:rFonts w:ascii="Arial" w:hAnsi="Arial" w:cs="Arial"/>
          <w:lang w:val="en-US"/>
        </w:rPr>
        <w:t xml:space="preserve"> with those invoked in </w:t>
      </w:r>
      <w:r w:rsidR="003A03E9" w:rsidRPr="00D92861">
        <w:rPr>
          <w:rFonts w:ascii="Arial" w:hAnsi="Arial" w:cs="Arial"/>
          <w:lang w:val="en-US"/>
        </w:rPr>
        <w:t>Spain,</w:t>
      </w:r>
      <w:r w:rsidRPr="00D92861">
        <w:rPr>
          <w:rFonts w:ascii="Arial" w:hAnsi="Arial" w:cs="Arial"/>
          <w:lang w:val="en-US"/>
        </w:rPr>
        <w:t xml:space="preserve"> </w:t>
      </w:r>
      <w:r w:rsidR="00956292" w:rsidRPr="00D92861">
        <w:rPr>
          <w:rFonts w:ascii="Arial" w:hAnsi="Arial" w:cs="Arial"/>
          <w:lang w:val="en-US"/>
        </w:rPr>
        <w:t>and that</w:t>
      </w:r>
      <w:r w:rsidRPr="00D92861">
        <w:rPr>
          <w:rFonts w:ascii="Arial" w:hAnsi="Arial" w:cs="Arial"/>
          <w:lang w:val="en-US"/>
        </w:rPr>
        <w:t xml:space="preserve"> it has </w:t>
      </w:r>
      <w:r w:rsidR="00767E08" w:rsidRPr="00D92861">
        <w:rPr>
          <w:rFonts w:ascii="Arial" w:hAnsi="Arial" w:cs="Arial"/>
          <w:lang w:val="en-US"/>
        </w:rPr>
        <w:t>less</w:t>
      </w:r>
      <w:r w:rsidR="00A47540" w:rsidRPr="00D92861">
        <w:rPr>
          <w:rFonts w:ascii="Arial" w:hAnsi="Arial" w:cs="Arial"/>
          <w:lang w:val="en-US"/>
        </w:rPr>
        <w:t xml:space="preserve"> evidentia</w:t>
      </w:r>
      <w:r w:rsidR="00381704">
        <w:rPr>
          <w:rFonts w:ascii="Arial" w:hAnsi="Arial" w:cs="Arial"/>
          <w:lang w:val="en-US"/>
        </w:rPr>
        <w:t>ry</w:t>
      </w:r>
      <w:r w:rsidR="00A47540" w:rsidRPr="00D92861">
        <w:rPr>
          <w:rFonts w:ascii="Arial" w:hAnsi="Arial" w:cs="Arial"/>
          <w:lang w:val="en-US"/>
        </w:rPr>
        <w:t xml:space="preserve"> value </w:t>
      </w:r>
      <w:r w:rsidR="00956292" w:rsidRPr="00D92861">
        <w:rPr>
          <w:rFonts w:ascii="Arial" w:hAnsi="Arial" w:cs="Arial"/>
          <w:lang w:val="en-US"/>
        </w:rPr>
        <w:t xml:space="preserve">than a </w:t>
      </w:r>
      <w:r w:rsidRPr="00D92861">
        <w:rPr>
          <w:rFonts w:ascii="Arial" w:hAnsi="Arial" w:cs="Arial"/>
          <w:lang w:val="en-US"/>
        </w:rPr>
        <w:t xml:space="preserve">foreign judgment. </w:t>
      </w:r>
      <w:r w:rsidR="00767E08" w:rsidRPr="00D92861">
        <w:rPr>
          <w:rFonts w:ascii="Arial" w:hAnsi="Arial" w:cs="Arial"/>
          <w:lang w:val="en-US"/>
        </w:rPr>
        <w:t xml:space="preserve">Finally, </w:t>
      </w:r>
      <w:r w:rsidRPr="00D92861">
        <w:rPr>
          <w:rFonts w:ascii="Arial" w:hAnsi="Arial" w:cs="Arial"/>
          <w:lang w:val="en-US"/>
        </w:rPr>
        <w:t xml:space="preserve">the </w:t>
      </w:r>
      <w:r w:rsidR="003A03E9" w:rsidRPr="00D92861">
        <w:rPr>
          <w:rFonts w:ascii="Arial" w:hAnsi="Arial" w:cs="Arial"/>
          <w:lang w:val="en-US"/>
        </w:rPr>
        <w:t xml:space="preserve">expert report was </w:t>
      </w:r>
      <w:r w:rsidRPr="00D92861">
        <w:rPr>
          <w:rFonts w:ascii="Arial" w:hAnsi="Arial" w:cs="Arial"/>
          <w:lang w:val="en-US"/>
        </w:rPr>
        <w:t>admitted</w:t>
      </w:r>
      <w:r w:rsidR="00767E08" w:rsidRPr="00D92861">
        <w:rPr>
          <w:rFonts w:ascii="Arial" w:hAnsi="Arial" w:cs="Arial"/>
          <w:lang w:val="en-US"/>
        </w:rPr>
        <w:t xml:space="preserve"> as another </w:t>
      </w:r>
      <w:r w:rsidR="00381704">
        <w:rPr>
          <w:rFonts w:ascii="Arial" w:hAnsi="Arial" w:cs="Arial"/>
          <w:lang w:val="en-US"/>
        </w:rPr>
        <w:t>exhibit</w:t>
      </w:r>
      <w:r w:rsidR="00767E08" w:rsidRPr="00D92861">
        <w:rPr>
          <w:rFonts w:ascii="Arial" w:hAnsi="Arial" w:cs="Arial"/>
          <w:lang w:val="en-US"/>
        </w:rPr>
        <w:t>, not as an expert report per se</w:t>
      </w:r>
      <w:r w:rsidR="00381704">
        <w:rPr>
          <w:rFonts w:ascii="Arial" w:hAnsi="Arial" w:cs="Arial"/>
          <w:lang w:val="en-US"/>
        </w:rPr>
        <w:t>.</w:t>
      </w:r>
    </w:p>
    <w:p w:rsidR="00553C98" w:rsidRPr="00D92861" w:rsidRDefault="002C60B4" w:rsidP="004543FF">
      <w:pPr>
        <w:jc w:val="both"/>
        <w:rPr>
          <w:rFonts w:ascii="Arial" w:hAnsi="Arial" w:cs="Arial"/>
          <w:lang w:val="en-US"/>
        </w:rPr>
      </w:pPr>
      <w:r w:rsidRPr="00D92861">
        <w:rPr>
          <w:rFonts w:ascii="Arial" w:hAnsi="Arial" w:cs="Arial"/>
          <w:lang w:val="en-US"/>
        </w:rPr>
        <w:t xml:space="preserve">Regarding the incorrect application of the problem-solution approach, </w:t>
      </w:r>
      <w:r w:rsidR="00553C98" w:rsidRPr="00D92861">
        <w:rPr>
          <w:rFonts w:ascii="Arial" w:hAnsi="Arial" w:cs="Arial"/>
          <w:lang w:val="en-US"/>
        </w:rPr>
        <w:t>it is important to establish the different positions of the parties with regard to the technical problem the patent sought to solve.</w:t>
      </w:r>
    </w:p>
    <w:p w:rsidR="00553C98" w:rsidRPr="00D92861" w:rsidRDefault="00553C98" w:rsidP="004543FF">
      <w:pPr>
        <w:jc w:val="both"/>
        <w:rPr>
          <w:rFonts w:ascii="Arial" w:hAnsi="Arial" w:cs="Arial"/>
          <w:lang w:val="en-US"/>
        </w:rPr>
      </w:pPr>
      <w:r w:rsidRPr="00D92861">
        <w:rPr>
          <w:rFonts w:ascii="Arial" w:hAnsi="Arial" w:cs="Arial"/>
          <w:lang w:val="en-US"/>
        </w:rPr>
        <w:t xml:space="preserve">On the one hand, </w:t>
      </w:r>
      <w:proofErr w:type="spellStart"/>
      <w:r w:rsidRPr="00D92861">
        <w:rPr>
          <w:rFonts w:ascii="Arial" w:hAnsi="Arial" w:cs="Arial"/>
          <w:lang w:val="en-US"/>
        </w:rPr>
        <w:t>Teva</w:t>
      </w:r>
      <w:proofErr w:type="spellEnd"/>
      <w:r w:rsidRPr="00D92861">
        <w:rPr>
          <w:rFonts w:ascii="Arial" w:hAnsi="Arial" w:cs="Arial"/>
          <w:lang w:val="en-US"/>
        </w:rPr>
        <w:t xml:space="preserve"> and </w:t>
      </w:r>
      <w:proofErr w:type="spellStart"/>
      <w:r w:rsidRPr="00D92861">
        <w:rPr>
          <w:rFonts w:ascii="Arial" w:hAnsi="Arial" w:cs="Arial"/>
          <w:lang w:val="en-US"/>
        </w:rPr>
        <w:t>Ratiopharma</w:t>
      </w:r>
      <w:proofErr w:type="spellEnd"/>
      <w:r w:rsidRPr="00D92861">
        <w:rPr>
          <w:rFonts w:ascii="Arial" w:hAnsi="Arial" w:cs="Arial"/>
          <w:lang w:val="en-US"/>
        </w:rPr>
        <w:t xml:space="preserve">, as well as the </w:t>
      </w:r>
      <w:r w:rsidR="00E87B65" w:rsidRPr="00D92861">
        <w:rPr>
          <w:rFonts w:ascii="Arial" w:hAnsi="Arial" w:cs="Arial"/>
          <w:lang w:val="en-US"/>
        </w:rPr>
        <w:t xml:space="preserve">First Instance </w:t>
      </w:r>
      <w:r w:rsidRPr="00D92861">
        <w:rPr>
          <w:rFonts w:ascii="Arial" w:hAnsi="Arial" w:cs="Arial"/>
          <w:lang w:val="en-US"/>
        </w:rPr>
        <w:t>decision, considered that t</w:t>
      </w:r>
      <w:r w:rsidR="00E87B65" w:rsidRPr="00D92861">
        <w:rPr>
          <w:rFonts w:ascii="Arial" w:hAnsi="Arial" w:cs="Arial"/>
          <w:lang w:val="en-US"/>
        </w:rPr>
        <w:t xml:space="preserve">he technical problem to be solved </w:t>
      </w:r>
      <w:r w:rsidRPr="00D92861">
        <w:rPr>
          <w:rFonts w:ascii="Arial" w:hAnsi="Arial" w:cs="Arial"/>
          <w:lang w:val="en-US"/>
        </w:rPr>
        <w:t xml:space="preserve">was the low oral bioavailability of ganciclovir. This conclusion is drawn from the description of the patent where it is claimed that it would be highly desirable to provide ganciclovir with </w:t>
      </w:r>
      <w:r w:rsidR="00B474D8">
        <w:rPr>
          <w:rFonts w:ascii="Arial" w:hAnsi="Arial" w:cs="Arial"/>
          <w:lang w:val="en-US"/>
        </w:rPr>
        <w:t xml:space="preserve">an </w:t>
      </w:r>
      <w:r w:rsidRPr="00D92861">
        <w:rPr>
          <w:rFonts w:ascii="Arial" w:hAnsi="Arial" w:cs="Arial"/>
          <w:lang w:val="en-US"/>
        </w:rPr>
        <w:t>improved oral absorption profile. Therefore, both the Commercial Court and the plaintiffs consider</w:t>
      </w:r>
      <w:r w:rsidR="000166C3">
        <w:rPr>
          <w:rFonts w:ascii="Arial" w:hAnsi="Arial" w:cs="Arial"/>
          <w:lang w:val="en-US"/>
        </w:rPr>
        <w:t>ed</w:t>
      </w:r>
      <w:r w:rsidRPr="00D92861">
        <w:rPr>
          <w:rFonts w:ascii="Arial" w:hAnsi="Arial" w:cs="Arial"/>
          <w:lang w:val="en-US"/>
        </w:rPr>
        <w:t xml:space="preserve"> the </w:t>
      </w:r>
      <w:proofErr w:type="spellStart"/>
      <w:r w:rsidRPr="00D92861">
        <w:rPr>
          <w:rFonts w:ascii="Arial" w:hAnsi="Arial" w:cs="Arial"/>
          <w:i/>
          <w:lang w:val="en-US"/>
        </w:rPr>
        <w:t>Druckexemplar</w:t>
      </w:r>
      <w:proofErr w:type="spellEnd"/>
      <w:r w:rsidRPr="00D92861">
        <w:rPr>
          <w:rFonts w:ascii="Arial" w:hAnsi="Arial" w:cs="Arial"/>
          <w:lang w:val="en-US"/>
        </w:rPr>
        <w:t xml:space="preserve"> </w:t>
      </w:r>
      <w:r w:rsidR="00B474D8">
        <w:rPr>
          <w:rFonts w:ascii="Arial" w:hAnsi="Arial" w:cs="Arial"/>
          <w:lang w:val="en-US"/>
        </w:rPr>
        <w:t>to</w:t>
      </w:r>
      <w:r w:rsidR="00B474D8" w:rsidRPr="00D92861">
        <w:rPr>
          <w:rFonts w:ascii="Arial" w:hAnsi="Arial" w:cs="Arial"/>
          <w:lang w:val="en-US"/>
        </w:rPr>
        <w:t xml:space="preserve"> </w:t>
      </w:r>
      <w:r w:rsidR="00BD1CD2">
        <w:rPr>
          <w:rFonts w:ascii="Arial" w:hAnsi="Arial" w:cs="Arial"/>
          <w:lang w:val="en-US"/>
        </w:rPr>
        <w:t xml:space="preserve">be </w:t>
      </w:r>
      <w:r w:rsidRPr="00D92861">
        <w:rPr>
          <w:rFonts w:ascii="Arial" w:hAnsi="Arial" w:cs="Arial"/>
          <w:lang w:val="en-US"/>
        </w:rPr>
        <w:t xml:space="preserve">the closest prior art document since it expressly mentions </w:t>
      </w:r>
      <w:proofErr w:type="spellStart"/>
      <w:r w:rsidRPr="00D92861">
        <w:rPr>
          <w:rFonts w:ascii="Arial" w:hAnsi="Arial" w:cs="Arial"/>
          <w:lang w:val="en-US"/>
        </w:rPr>
        <w:t>valganciclovir</w:t>
      </w:r>
      <w:proofErr w:type="spellEnd"/>
      <w:r w:rsidRPr="00D92861">
        <w:rPr>
          <w:rFonts w:ascii="Arial" w:hAnsi="Arial" w:cs="Arial"/>
          <w:lang w:val="en-US"/>
        </w:rPr>
        <w:t xml:space="preserve"> and teaches that it </w:t>
      </w:r>
      <w:r w:rsidR="00B474D8">
        <w:rPr>
          <w:rFonts w:ascii="Arial" w:hAnsi="Arial" w:cs="Arial"/>
          <w:lang w:val="en-US"/>
        </w:rPr>
        <w:t>makes it possible</w:t>
      </w:r>
      <w:r w:rsidR="00B474D8" w:rsidRPr="00D92861">
        <w:rPr>
          <w:rFonts w:ascii="Arial" w:hAnsi="Arial" w:cs="Arial"/>
          <w:lang w:val="en-US"/>
        </w:rPr>
        <w:t xml:space="preserve"> </w:t>
      </w:r>
      <w:r w:rsidRPr="00D92861">
        <w:rPr>
          <w:rFonts w:ascii="Arial" w:hAnsi="Arial" w:cs="Arial"/>
          <w:lang w:val="en-US"/>
        </w:rPr>
        <w:t xml:space="preserve">to increase the oral bioavailability of ganciclovir. </w:t>
      </w:r>
    </w:p>
    <w:p w:rsidR="00084CE3" w:rsidRPr="00D92861" w:rsidRDefault="00084CE3" w:rsidP="004543FF">
      <w:pPr>
        <w:jc w:val="both"/>
        <w:rPr>
          <w:rFonts w:ascii="Arial" w:hAnsi="Arial" w:cs="Arial"/>
          <w:lang w:val="en-US"/>
        </w:rPr>
      </w:pPr>
      <w:r w:rsidRPr="00D92861">
        <w:rPr>
          <w:rFonts w:ascii="Arial" w:hAnsi="Arial" w:cs="Arial"/>
          <w:lang w:val="en-US"/>
        </w:rPr>
        <w:t xml:space="preserve">On </w:t>
      </w:r>
      <w:r w:rsidR="001260C6" w:rsidRPr="00D92861">
        <w:rPr>
          <w:rFonts w:ascii="Arial" w:hAnsi="Arial" w:cs="Arial"/>
          <w:lang w:val="en-US"/>
        </w:rPr>
        <w:t>the other hand, Roche believed</w:t>
      </w:r>
      <w:r w:rsidRPr="00D92861">
        <w:rPr>
          <w:rFonts w:ascii="Arial" w:hAnsi="Arial" w:cs="Arial"/>
          <w:lang w:val="en-US"/>
        </w:rPr>
        <w:t xml:space="preserve"> that the technical problem </w:t>
      </w:r>
      <w:r w:rsidR="00A84776">
        <w:rPr>
          <w:rFonts w:ascii="Arial" w:hAnsi="Arial" w:cs="Arial"/>
          <w:lang w:val="en-US"/>
        </w:rPr>
        <w:t>in question</w:t>
      </w:r>
      <w:r w:rsidRPr="00D92861">
        <w:rPr>
          <w:rFonts w:ascii="Arial" w:hAnsi="Arial" w:cs="Arial"/>
          <w:lang w:val="en-US"/>
        </w:rPr>
        <w:t xml:space="preserve"> </w:t>
      </w:r>
      <w:r w:rsidR="00570125">
        <w:rPr>
          <w:rFonts w:ascii="Arial" w:hAnsi="Arial" w:cs="Arial"/>
          <w:lang w:val="en-US"/>
        </w:rPr>
        <w:t>was</w:t>
      </w:r>
      <w:r w:rsidRPr="00D92861">
        <w:rPr>
          <w:rFonts w:ascii="Arial" w:hAnsi="Arial" w:cs="Arial"/>
          <w:lang w:val="en-US"/>
        </w:rPr>
        <w:t xml:space="preserve"> how to improve the oral bioavailability and toxicity of </w:t>
      </w:r>
      <w:proofErr w:type="spellStart"/>
      <w:r w:rsidRPr="00D92861">
        <w:rPr>
          <w:rFonts w:ascii="Arial" w:hAnsi="Arial" w:cs="Arial"/>
          <w:lang w:val="en-US"/>
        </w:rPr>
        <w:t>bis</w:t>
      </w:r>
      <w:proofErr w:type="spellEnd"/>
      <w:r w:rsidRPr="00D92861">
        <w:rPr>
          <w:rFonts w:ascii="Arial" w:hAnsi="Arial" w:cs="Arial"/>
          <w:lang w:val="en-US"/>
        </w:rPr>
        <w:t xml:space="preserve"> L-</w:t>
      </w:r>
      <w:proofErr w:type="spellStart"/>
      <w:r w:rsidRPr="00D92861">
        <w:rPr>
          <w:rFonts w:ascii="Arial" w:hAnsi="Arial" w:cs="Arial"/>
          <w:lang w:val="en-US"/>
        </w:rPr>
        <w:t>valinate</w:t>
      </w:r>
      <w:proofErr w:type="spellEnd"/>
      <w:r w:rsidRPr="00D92861">
        <w:rPr>
          <w:rFonts w:ascii="Arial" w:hAnsi="Arial" w:cs="Arial"/>
          <w:lang w:val="en-US"/>
        </w:rPr>
        <w:t xml:space="preserve"> ester of ganciclovir. </w:t>
      </w:r>
    </w:p>
    <w:p w:rsidR="006C69A4" w:rsidRPr="00D92861" w:rsidRDefault="001260C6" w:rsidP="006C69A4">
      <w:pPr>
        <w:jc w:val="both"/>
        <w:rPr>
          <w:rFonts w:ascii="Arial" w:hAnsi="Arial" w:cs="Arial"/>
          <w:lang w:val="en-US"/>
        </w:rPr>
      </w:pPr>
      <w:r w:rsidRPr="00D92861">
        <w:rPr>
          <w:rFonts w:ascii="Arial" w:hAnsi="Arial" w:cs="Arial"/>
          <w:lang w:val="en-US"/>
        </w:rPr>
        <w:t>Based</w:t>
      </w:r>
      <w:r w:rsidR="00084CE3" w:rsidRPr="00D92861">
        <w:rPr>
          <w:rFonts w:ascii="Arial" w:hAnsi="Arial" w:cs="Arial"/>
          <w:lang w:val="en-US"/>
        </w:rPr>
        <w:t xml:space="preserve"> on the opinion issued by the</w:t>
      </w:r>
      <w:r w:rsidR="006C69A4" w:rsidRPr="00D92861">
        <w:rPr>
          <w:rFonts w:ascii="Arial" w:hAnsi="Arial" w:cs="Arial"/>
          <w:lang w:val="en-US"/>
        </w:rPr>
        <w:t xml:space="preserve"> European Patent Office (hereinafter</w:t>
      </w:r>
      <w:r w:rsidR="00A84776">
        <w:rPr>
          <w:rFonts w:ascii="Arial" w:hAnsi="Arial" w:cs="Arial"/>
          <w:lang w:val="en-US"/>
        </w:rPr>
        <w:t>,</w:t>
      </w:r>
      <w:r w:rsidR="006C69A4" w:rsidRPr="00D92861">
        <w:rPr>
          <w:rFonts w:ascii="Arial" w:hAnsi="Arial" w:cs="Arial"/>
          <w:lang w:val="en-US"/>
        </w:rPr>
        <w:t xml:space="preserve"> “EPO”)</w:t>
      </w:r>
      <w:r w:rsidR="00E87B65" w:rsidRPr="00D92861">
        <w:rPr>
          <w:rFonts w:ascii="Arial" w:hAnsi="Arial" w:cs="Arial"/>
          <w:lang w:val="en-US"/>
        </w:rPr>
        <w:t xml:space="preserve"> </w:t>
      </w:r>
      <w:r w:rsidR="00084CE3" w:rsidRPr="00D92861">
        <w:rPr>
          <w:rFonts w:ascii="Arial" w:hAnsi="Arial" w:cs="Arial"/>
          <w:lang w:val="en-US"/>
        </w:rPr>
        <w:t xml:space="preserve">Examining Division </w:t>
      </w:r>
      <w:r w:rsidR="00DF051D" w:rsidRPr="00D92861">
        <w:rPr>
          <w:rFonts w:ascii="Arial" w:hAnsi="Arial" w:cs="Arial"/>
          <w:lang w:val="en-US"/>
        </w:rPr>
        <w:t xml:space="preserve">on June 5, 1997, </w:t>
      </w:r>
      <w:r w:rsidR="00084CE3" w:rsidRPr="00D92861">
        <w:rPr>
          <w:rFonts w:ascii="Arial" w:hAnsi="Arial" w:cs="Arial"/>
          <w:lang w:val="en-US"/>
        </w:rPr>
        <w:t xml:space="preserve">during the </w:t>
      </w:r>
      <w:r w:rsidR="00DF051D" w:rsidRPr="00D92861">
        <w:rPr>
          <w:rFonts w:ascii="Arial" w:hAnsi="Arial" w:cs="Arial"/>
          <w:lang w:val="en-US"/>
        </w:rPr>
        <w:t xml:space="preserve">prosecution </w:t>
      </w:r>
      <w:r w:rsidRPr="00D92861">
        <w:rPr>
          <w:rFonts w:ascii="Arial" w:hAnsi="Arial" w:cs="Arial"/>
          <w:lang w:val="en-US"/>
        </w:rPr>
        <w:t>of the patent at stake</w:t>
      </w:r>
      <w:r w:rsidR="00DF051D" w:rsidRPr="00D92861">
        <w:rPr>
          <w:rFonts w:ascii="Arial" w:hAnsi="Arial" w:cs="Arial"/>
          <w:lang w:val="en-US"/>
        </w:rPr>
        <w:t xml:space="preserve">, </w:t>
      </w:r>
      <w:r w:rsidR="00F130B2">
        <w:rPr>
          <w:rFonts w:ascii="Arial" w:hAnsi="Arial" w:cs="Arial"/>
          <w:lang w:val="en-US"/>
        </w:rPr>
        <w:t>as well as</w:t>
      </w:r>
      <w:r w:rsidR="00F130B2" w:rsidRPr="00D92861">
        <w:rPr>
          <w:rFonts w:ascii="Arial" w:hAnsi="Arial" w:cs="Arial"/>
          <w:lang w:val="en-US"/>
        </w:rPr>
        <w:t xml:space="preserve"> </w:t>
      </w:r>
      <w:r w:rsidRPr="00D92861">
        <w:rPr>
          <w:rFonts w:ascii="Arial" w:hAnsi="Arial" w:cs="Arial"/>
          <w:lang w:val="en-US"/>
        </w:rPr>
        <w:t>its description, the Court of Appeal</w:t>
      </w:r>
      <w:r w:rsidR="00A84776">
        <w:rPr>
          <w:rFonts w:ascii="Arial" w:hAnsi="Arial" w:cs="Arial"/>
          <w:lang w:val="en-US"/>
        </w:rPr>
        <w:t>s</w:t>
      </w:r>
      <w:r w:rsidRPr="00D92861">
        <w:rPr>
          <w:rFonts w:ascii="Arial" w:hAnsi="Arial" w:cs="Arial"/>
          <w:lang w:val="en-US"/>
        </w:rPr>
        <w:t xml:space="preserve"> agreed with the </w:t>
      </w:r>
      <w:r w:rsidR="00F32D8B" w:rsidRPr="00D92861">
        <w:rPr>
          <w:rFonts w:ascii="Arial" w:hAnsi="Arial" w:cs="Arial"/>
          <w:lang w:val="en-US"/>
        </w:rPr>
        <w:t xml:space="preserve">First Instance </w:t>
      </w:r>
      <w:r w:rsidRPr="00D92861">
        <w:rPr>
          <w:rFonts w:ascii="Arial" w:hAnsi="Arial" w:cs="Arial"/>
          <w:lang w:val="en-US"/>
        </w:rPr>
        <w:t xml:space="preserve">decision and the plaintiffs </w:t>
      </w:r>
      <w:r w:rsidR="00A84776">
        <w:rPr>
          <w:rFonts w:ascii="Arial" w:hAnsi="Arial" w:cs="Arial"/>
          <w:lang w:val="en-US"/>
        </w:rPr>
        <w:t>concerning</w:t>
      </w:r>
      <w:r w:rsidR="00A84776" w:rsidRPr="00D92861">
        <w:rPr>
          <w:rFonts w:ascii="Arial" w:hAnsi="Arial" w:cs="Arial"/>
          <w:lang w:val="en-US"/>
        </w:rPr>
        <w:t xml:space="preserve"> </w:t>
      </w:r>
      <w:r w:rsidRPr="00D92861">
        <w:rPr>
          <w:rFonts w:ascii="Arial" w:hAnsi="Arial" w:cs="Arial"/>
          <w:lang w:val="en-US"/>
        </w:rPr>
        <w:t xml:space="preserve">the technical problem that patent EP 547 sought to solve, </w:t>
      </w:r>
      <w:r w:rsidR="00A84776">
        <w:rPr>
          <w:rFonts w:ascii="Arial" w:hAnsi="Arial" w:cs="Arial"/>
          <w:lang w:val="en-US"/>
        </w:rPr>
        <w:t xml:space="preserve">that </w:t>
      </w:r>
      <w:r w:rsidRPr="00D92861">
        <w:rPr>
          <w:rFonts w:ascii="Arial" w:hAnsi="Arial" w:cs="Arial"/>
          <w:lang w:val="en-US"/>
        </w:rPr>
        <w:t>being the low oral absorption of ganciclovir.</w:t>
      </w:r>
      <w:r w:rsidR="006C69A4" w:rsidRPr="00D92861">
        <w:rPr>
          <w:rFonts w:ascii="Arial" w:hAnsi="Arial" w:cs="Arial"/>
          <w:lang w:val="en-US"/>
        </w:rPr>
        <w:t xml:space="preserve"> On the basis of the technical problem established, the Appeal</w:t>
      </w:r>
      <w:r w:rsidR="00A84776">
        <w:rPr>
          <w:rFonts w:ascii="Arial" w:hAnsi="Arial" w:cs="Arial"/>
          <w:lang w:val="en-US"/>
        </w:rPr>
        <w:t>s</w:t>
      </w:r>
      <w:r w:rsidR="006C69A4" w:rsidRPr="00D92861">
        <w:rPr>
          <w:rFonts w:ascii="Arial" w:hAnsi="Arial" w:cs="Arial"/>
          <w:lang w:val="en-US"/>
        </w:rPr>
        <w:t xml:space="preserve"> Court decided that the prior art to consider when applying the problem-solution approach </w:t>
      </w:r>
      <w:r w:rsidR="00A84776">
        <w:rPr>
          <w:rFonts w:ascii="Arial" w:hAnsi="Arial" w:cs="Arial"/>
          <w:lang w:val="en-US"/>
        </w:rPr>
        <w:lastRenderedPageBreak/>
        <w:t>was</w:t>
      </w:r>
      <w:r w:rsidR="00A84776" w:rsidRPr="00D92861">
        <w:rPr>
          <w:rFonts w:ascii="Arial" w:hAnsi="Arial" w:cs="Arial"/>
          <w:lang w:val="en-US"/>
        </w:rPr>
        <w:t xml:space="preserve"> </w:t>
      </w:r>
      <w:r w:rsidR="00767E08" w:rsidRPr="00D92861">
        <w:rPr>
          <w:rFonts w:ascii="Arial" w:hAnsi="Arial" w:cs="Arial"/>
          <w:lang w:val="en-US"/>
        </w:rPr>
        <w:t xml:space="preserve">both patent application EP 329 and </w:t>
      </w:r>
      <w:r w:rsidR="006C69A4" w:rsidRPr="00D92861">
        <w:rPr>
          <w:rFonts w:ascii="Arial" w:hAnsi="Arial" w:cs="Arial"/>
          <w:lang w:val="en-US"/>
        </w:rPr>
        <w:t xml:space="preserve">the </w:t>
      </w:r>
      <w:proofErr w:type="spellStart"/>
      <w:r w:rsidR="006C69A4" w:rsidRPr="00D92861">
        <w:rPr>
          <w:rFonts w:ascii="Arial" w:hAnsi="Arial" w:cs="Arial"/>
          <w:i/>
          <w:lang w:val="en-US"/>
        </w:rPr>
        <w:t>Druckexemplar</w:t>
      </w:r>
      <w:proofErr w:type="spellEnd"/>
      <w:r w:rsidR="006C69A4" w:rsidRPr="00D92861">
        <w:rPr>
          <w:rFonts w:ascii="Arial" w:hAnsi="Arial" w:cs="Arial"/>
          <w:i/>
          <w:lang w:val="en-US"/>
        </w:rPr>
        <w:t xml:space="preserve"> </w:t>
      </w:r>
      <w:r w:rsidR="006C69A4" w:rsidRPr="00D92861">
        <w:rPr>
          <w:rFonts w:ascii="Arial" w:hAnsi="Arial" w:cs="Arial"/>
          <w:lang w:val="en-US"/>
        </w:rPr>
        <w:t xml:space="preserve">of </w:t>
      </w:r>
      <w:r w:rsidR="00767E08" w:rsidRPr="00D92861">
        <w:rPr>
          <w:rFonts w:ascii="Arial" w:hAnsi="Arial" w:cs="Arial"/>
          <w:lang w:val="en-US"/>
        </w:rPr>
        <w:t xml:space="preserve">said </w:t>
      </w:r>
      <w:r w:rsidR="006C69A4" w:rsidRPr="00D92861">
        <w:rPr>
          <w:rFonts w:ascii="Arial" w:hAnsi="Arial" w:cs="Arial"/>
          <w:lang w:val="en-US"/>
        </w:rPr>
        <w:t xml:space="preserve">patent application EP 329.   </w:t>
      </w:r>
    </w:p>
    <w:p w:rsidR="0008687A" w:rsidRPr="00D92861" w:rsidRDefault="00CB1974" w:rsidP="009E764B">
      <w:pPr>
        <w:jc w:val="both"/>
        <w:rPr>
          <w:rFonts w:ascii="Arial" w:hAnsi="Arial" w:cs="Arial"/>
          <w:lang w:val="en-US"/>
        </w:rPr>
      </w:pPr>
      <w:r w:rsidRPr="00D92861">
        <w:rPr>
          <w:rFonts w:ascii="Arial" w:hAnsi="Arial" w:cs="Arial"/>
          <w:lang w:val="en-US"/>
        </w:rPr>
        <w:t xml:space="preserve">In </w:t>
      </w:r>
      <w:r w:rsidR="00F132C7">
        <w:rPr>
          <w:rFonts w:ascii="Arial" w:hAnsi="Arial" w:cs="Arial"/>
          <w:lang w:val="en-US"/>
        </w:rPr>
        <w:t>the present</w:t>
      </w:r>
      <w:r w:rsidR="00F132C7" w:rsidRPr="00D92861">
        <w:rPr>
          <w:rFonts w:ascii="Arial" w:hAnsi="Arial" w:cs="Arial"/>
          <w:lang w:val="en-US"/>
        </w:rPr>
        <w:t xml:space="preserve"> </w:t>
      </w:r>
      <w:r w:rsidRPr="00D92861">
        <w:rPr>
          <w:rFonts w:ascii="Arial" w:hAnsi="Arial" w:cs="Arial"/>
          <w:lang w:val="en-US"/>
        </w:rPr>
        <w:t>case</w:t>
      </w:r>
      <w:r w:rsidR="00C060AB">
        <w:rPr>
          <w:rFonts w:ascii="Arial" w:hAnsi="Arial" w:cs="Arial"/>
          <w:lang w:val="en-US"/>
        </w:rPr>
        <w:t>,</w:t>
      </w:r>
      <w:r w:rsidRPr="00D92861">
        <w:rPr>
          <w:rFonts w:ascii="Arial" w:hAnsi="Arial" w:cs="Arial"/>
          <w:lang w:val="en-US"/>
        </w:rPr>
        <w:t xml:space="preserve">  the discussion about the possibility of considering the </w:t>
      </w:r>
      <w:proofErr w:type="spellStart"/>
      <w:r w:rsidRPr="00D92861">
        <w:rPr>
          <w:rFonts w:ascii="Arial" w:hAnsi="Arial" w:cs="Arial"/>
          <w:i/>
          <w:lang w:val="en-US"/>
        </w:rPr>
        <w:t>Druckexemplar</w:t>
      </w:r>
      <w:proofErr w:type="spellEnd"/>
      <w:r w:rsidRPr="00D92861">
        <w:rPr>
          <w:rFonts w:ascii="Arial" w:hAnsi="Arial" w:cs="Arial"/>
          <w:lang w:val="en-US"/>
        </w:rPr>
        <w:t xml:space="preserve"> as </w:t>
      </w:r>
      <w:r w:rsidR="00767E08" w:rsidRPr="00D92861">
        <w:rPr>
          <w:rFonts w:ascii="Arial" w:hAnsi="Arial" w:cs="Arial"/>
          <w:lang w:val="en-US"/>
        </w:rPr>
        <w:t>a</w:t>
      </w:r>
      <w:r w:rsidRPr="00D92861">
        <w:rPr>
          <w:rFonts w:ascii="Arial" w:hAnsi="Arial" w:cs="Arial"/>
          <w:lang w:val="en-US"/>
        </w:rPr>
        <w:t xml:space="preserve"> prior art document</w:t>
      </w:r>
      <w:r w:rsidR="00C060AB">
        <w:rPr>
          <w:rFonts w:ascii="Arial" w:hAnsi="Arial" w:cs="Arial"/>
          <w:lang w:val="en-US"/>
        </w:rPr>
        <w:t xml:space="preserve"> </w:t>
      </w:r>
      <w:r w:rsidR="00C060AB" w:rsidRPr="00D92861">
        <w:rPr>
          <w:rFonts w:ascii="Arial" w:hAnsi="Arial" w:cs="Arial"/>
          <w:lang w:val="en-US"/>
        </w:rPr>
        <w:t>is particularly interesting</w:t>
      </w:r>
      <w:r w:rsidR="00493D7D" w:rsidRPr="00D92861">
        <w:rPr>
          <w:rFonts w:ascii="Arial" w:hAnsi="Arial" w:cs="Arial"/>
          <w:lang w:val="en-US"/>
        </w:rPr>
        <w:t>.</w:t>
      </w:r>
      <w:r w:rsidR="0008687A" w:rsidRPr="00D92861">
        <w:rPr>
          <w:rFonts w:ascii="Arial" w:hAnsi="Arial" w:cs="Arial"/>
          <w:lang w:val="en-US"/>
        </w:rPr>
        <w:t xml:space="preserve"> </w:t>
      </w:r>
      <w:r w:rsidR="001260C6" w:rsidRPr="00D92861">
        <w:rPr>
          <w:rFonts w:ascii="Arial" w:hAnsi="Arial" w:cs="Arial"/>
          <w:lang w:val="en-US"/>
        </w:rPr>
        <w:t>By way of background,</w:t>
      </w:r>
      <w:r w:rsidR="0008687A" w:rsidRPr="00D92861">
        <w:rPr>
          <w:rFonts w:ascii="Arial" w:hAnsi="Arial" w:cs="Arial"/>
          <w:lang w:val="en-US"/>
        </w:rPr>
        <w:t xml:space="preserve"> the </w:t>
      </w:r>
      <w:proofErr w:type="spellStart"/>
      <w:r w:rsidR="0008687A" w:rsidRPr="00D92861">
        <w:rPr>
          <w:rFonts w:ascii="Arial" w:hAnsi="Arial" w:cs="Arial"/>
          <w:i/>
          <w:lang w:val="en-US"/>
        </w:rPr>
        <w:t>Druckexemplar</w:t>
      </w:r>
      <w:proofErr w:type="spellEnd"/>
      <w:r w:rsidR="0008687A" w:rsidRPr="00D92861">
        <w:rPr>
          <w:rFonts w:ascii="Arial" w:hAnsi="Arial" w:cs="Arial"/>
          <w:i/>
          <w:lang w:val="en-US"/>
        </w:rPr>
        <w:t xml:space="preserve"> </w:t>
      </w:r>
      <w:r w:rsidR="0008687A" w:rsidRPr="00D92861">
        <w:rPr>
          <w:rFonts w:ascii="Arial" w:hAnsi="Arial" w:cs="Arial"/>
          <w:lang w:val="en-US"/>
        </w:rPr>
        <w:t xml:space="preserve">is the final text of the patent application </w:t>
      </w:r>
      <w:r w:rsidR="00B13186" w:rsidRPr="00D92861">
        <w:rPr>
          <w:rFonts w:ascii="Arial" w:hAnsi="Arial" w:cs="Arial"/>
          <w:lang w:val="en-US"/>
        </w:rPr>
        <w:t>proposed for grant</w:t>
      </w:r>
      <w:r w:rsidR="00353ADC">
        <w:rPr>
          <w:rFonts w:ascii="Arial" w:hAnsi="Arial" w:cs="Arial"/>
          <w:lang w:val="en-US"/>
        </w:rPr>
        <w:t>ing</w:t>
      </w:r>
      <w:r w:rsidR="0008687A" w:rsidRPr="00D92861">
        <w:rPr>
          <w:rFonts w:ascii="Arial" w:hAnsi="Arial" w:cs="Arial"/>
          <w:lang w:val="en-US"/>
        </w:rPr>
        <w:t xml:space="preserve"> by the </w:t>
      </w:r>
      <w:r w:rsidR="006C69A4" w:rsidRPr="00D92861">
        <w:rPr>
          <w:rFonts w:ascii="Arial" w:hAnsi="Arial" w:cs="Arial"/>
          <w:lang w:val="en-US"/>
        </w:rPr>
        <w:t xml:space="preserve">EPO. </w:t>
      </w:r>
      <w:r w:rsidR="0008687A" w:rsidRPr="00D92861">
        <w:rPr>
          <w:rFonts w:ascii="Arial" w:hAnsi="Arial" w:cs="Arial"/>
          <w:lang w:val="en-US"/>
        </w:rPr>
        <w:t xml:space="preserve">The </w:t>
      </w:r>
      <w:proofErr w:type="spellStart"/>
      <w:r w:rsidR="0008687A" w:rsidRPr="00D92861">
        <w:rPr>
          <w:rFonts w:ascii="Arial" w:hAnsi="Arial" w:cs="Arial"/>
          <w:i/>
          <w:lang w:val="en-US"/>
        </w:rPr>
        <w:t>Druckexemplar</w:t>
      </w:r>
      <w:proofErr w:type="spellEnd"/>
      <w:r w:rsidR="0008687A" w:rsidRPr="00D92861">
        <w:rPr>
          <w:rFonts w:ascii="Arial" w:hAnsi="Arial" w:cs="Arial"/>
          <w:i/>
          <w:lang w:val="en-US"/>
        </w:rPr>
        <w:t xml:space="preserve"> </w:t>
      </w:r>
      <w:r w:rsidR="00F32D8B" w:rsidRPr="00D92861">
        <w:rPr>
          <w:rFonts w:ascii="Arial" w:hAnsi="Arial" w:cs="Arial"/>
          <w:lang w:val="en-US"/>
        </w:rPr>
        <w:t>of</w:t>
      </w:r>
      <w:r w:rsidR="0008687A" w:rsidRPr="00D92861">
        <w:rPr>
          <w:rFonts w:ascii="Arial" w:hAnsi="Arial" w:cs="Arial"/>
          <w:lang w:val="en-US"/>
        </w:rPr>
        <w:t xml:space="preserve"> patent application EP 329</w:t>
      </w:r>
      <w:r w:rsidRPr="00D92861">
        <w:rPr>
          <w:rFonts w:ascii="Arial" w:hAnsi="Arial" w:cs="Arial"/>
          <w:lang w:val="en-US"/>
        </w:rPr>
        <w:t xml:space="preserve"> was </w:t>
      </w:r>
      <w:r w:rsidR="0031571A" w:rsidRPr="00D92861">
        <w:rPr>
          <w:rFonts w:ascii="Arial" w:hAnsi="Arial" w:cs="Arial"/>
          <w:lang w:val="en-US"/>
        </w:rPr>
        <w:t>made publicly</w:t>
      </w:r>
      <w:r w:rsidR="00493D7D" w:rsidRPr="00D92861">
        <w:rPr>
          <w:rFonts w:ascii="Arial" w:hAnsi="Arial" w:cs="Arial"/>
          <w:lang w:val="en-US"/>
        </w:rPr>
        <w:t xml:space="preserve"> accessible </w:t>
      </w:r>
      <w:r w:rsidR="00353ADC">
        <w:rPr>
          <w:rFonts w:ascii="Arial" w:hAnsi="Arial" w:cs="Arial"/>
          <w:lang w:val="en-US"/>
        </w:rPr>
        <w:t>on</w:t>
      </w:r>
      <w:r w:rsidR="00AF64E2" w:rsidRPr="00D92861">
        <w:rPr>
          <w:rFonts w:ascii="Arial" w:hAnsi="Arial" w:cs="Arial"/>
          <w:lang w:val="en-US"/>
        </w:rPr>
        <w:t xml:space="preserve"> May 9, 1994, almost three months before the priority date of patent ES 348.</w:t>
      </w:r>
    </w:p>
    <w:p w:rsidR="0031571A" w:rsidRPr="00D92861" w:rsidRDefault="00AC584A" w:rsidP="009E764B">
      <w:pPr>
        <w:jc w:val="both"/>
        <w:rPr>
          <w:rFonts w:ascii="Arial" w:hAnsi="Arial" w:cs="Arial"/>
          <w:lang w:val="en-US"/>
        </w:rPr>
      </w:pPr>
      <w:r w:rsidRPr="00D92861">
        <w:rPr>
          <w:rFonts w:ascii="Arial" w:hAnsi="Arial" w:cs="Arial"/>
          <w:lang w:val="en-US"/>
        </w:rPr>
        <w:t>Roche reject</w:t>
      </w:r>
      <w:r w:rsidR="00A60B31" w:rsidRPr="00D92861">
        <w:rPr>
          <w:rFonts w:ascii="Arial" w:hAnsi="Arial" w:cs="Arial"/>
          <w:lang w:val="en-US"/>
        </w:rPr>
        <w:t>ed</w:t>
      </w:r>
      <w:r w:rsidRPr="00D92861">
        <w:rPr>
          <w:rFonts w:ascii="Arial" w:hAnsi="Arial" w:cs="Arial"/>
          <w:lang w:val="en-US"/>
        </w:rPr>
        <w:t xml:space="preserve"> </w:t>
      </w:r>
      <w:r w:rsidR="00CB5D2A">
        <w:rPr>
          <w:rFonts w:ascii="Arial" w:hAnsi="Arial" w:cs="Arial"/>
          <w:lang w:val="en-US"/>
        </w:rPr>
        <w:t xml:space="preserve">the argument </w:t>
      </w:r>
      <w:r w:rsidRPr="00D92861">
        <w:rPr>
          <w:rFonts w:ascii="Arial" w:hAnsi="Arial" w:cs="Arial"/>
          <w:lang w:val="en-US"/>
        </w:rPr>
        <w:t xml:space="preserve">that the </w:t>
      </w:r>
      <w:proofErr w:type="spellStart"/>
      <w:r w:rsidRPr="00D92861">
        <w:rPr>
          <w:rFonts w:ascii="Arial" w:hAnsi="Arial" w:cs="Arial"/>
          <w:i/>
          <w:lang w:val="en-US"/>
        </w:rPr>
        <w:t>Druckexemplar</w:t>
      </w:r>
      <w:proofErr w:type="spellEnd"/>
      <w:r w:rsidRPr="00D92861">
        <w:rPr>
          <w:rFonts w:ascii="Arial" w:hAnsi="Arial" w:cs="Arial"/>
          <w:lang w:val="en-US"/>
        </w:rPr>
        <w:t xml:space="preserve"> had been made accessible to the public and, c</w:t>
      </w:r>
      <w:r w:rsidR="00AF64E2" w:rsidRPr="00D92861">
        <w:rPr>
          <w:rFonts w:ascii="Arial" w:hAnsi="Arial" w:cs="Arial"/>
          <w:lang w:val="en-US"/>
        </w:rPr>
        <w:t xml:space="preserve">onsequently, </w:t>
      </w:r>
      <w:r w:rsidR="00BD3501" w:rsidRPr="00D92861">
        <w:rPr>
          <w:rFonts w:ascii="Arial" w:hAnsi="Arial" w:cs="Arial"/>
          <w:lang w:val="en-US"/>
        </w:rPr>
        <w:t xml:space="preserve">considered that it was not </w:t>
      </w:r>
      <w:r w:rsidR="00A92EF1" w:rsidRPr="00D92861">
        <w:rPr>
          <w:rFonts w:ascii="Arial" w:hAnsi="Arial" w:cs="Arial"/>
          <w:lang w:val="en-US"/>
        </w:rPr>
        <w:t>prior</w:t>
      </w:r>
      <w:r w:rsidR="00F32D8B" w:rsidRPr="00D92861">
        <w:rPr>
          <w:rFonts w:ascii="Arial" w:hAnsi="Arial" w:cs="Arial"/>
          <w:lang w:val="en-US"/>
        </w:rPr>
        <w:t xml:space="preserve"> art </w:t>
      </w:r>
      <w:r w:rsidRPr="00D92861">
        <w:rPr>
          <w:rFonts w:ascii="Arial" w:hAnsi="Arial" w:cs="Arial"/>
          <w:lang w:val="en-US"/>
        </w:rPr>
        <w:t xml:space="preserve">according to Article 54 </w:t>
      </w:r>
      <w:r w:rsidR="0031571A" w:rsidRPr="00D92861">
        <w:rPr>
          <w:rFonts w:ascii="Arial" w:hAnsi="Arial" w:cs="Arial"/>
          <w:lang w:val="en-US"/>
        </w:rPr>
        <w:t xml:space="preserve">EPC. </w:t>
      </w:r>
      <w:r w:rsidR="00A92EF1" w:rsidRPr="00D92861">
        <w:rPr>
          <w:rFonts w:ascii="Arial" w:hAnsi="Arial" w:cs="Arial"/>
          <w:lang w:val="en-US"/>
        </w:rPr>
        <w:t>Roche</w:t>
      </w:r>
      <w:r w:rsidR="0031571A" w:rsidRPr="00D92861">
        <w:rPr>
          <w:rFonts w:ascii="Arial" w:hAnsi="Arial" w:cs="Arial"/>
          <w:lang w:val="en-US"/>
        </w:rPr>
        <w:t xml:space="preserve"> state</w:t>
      </w:r>
      <w:r w:rsidR="00CB5D2A">
        <w:rPr>
          <w:rFonts w:ascii="Arial" w:hAnsi="Arial" w:cs="Arial"/>
          <w:lang w:val="en-US"/>
        </w:rPr>
        <w:t>d</w:t>
      </w:r>
      <w:r w:rsidR="0031571A" w:rsidRPr="00D92861">
        <w:rPr>
          <w:rFonts w:ascii="Arial" w:hAnsi="Arial" w:cs="Arial"/>
          <w:lang w:val="en-US"/>
        </w:rPr>
        <w:t xml:space="preserve"> that t</w:t>
      </w:r>
      <w:r w:rsidR="0031571A" w:rsidRPr="00D92861">
        <w:rPr>
          <w:rFonts w:ascii="Arial" w:hAnsi="Arial" w:cs="Arial"/>
          <w:shd w:val="clear" w:color="auto" w:fill="FFFFFF"/>
          <w:lang w:val="en-US"/>
        </w:rPr>
        <w:t>his document was sent by mail on May 9, 1994</w:t>
      </w:r>
      <w:r w:rsidR="00CB5D2A">
        <w:rPr>
          <w:rFonts w:ascii="Arial" w:hAnsi="Arial" w:cs="Arial"/>
          <w:shd w:val="clear" w:color="auto" w:fill="FFFFFF"/>
          <w:lang w:val="en-US"/>
        </w:rPr>
        <w:t>,</w:t>
      </w:r>
      <w:r w:rsidR="0031571A" w:rsidRPr="00D92861">
        <w:rPr>
          <w:rFonts w:ascii="Arial" w:hAnsi="Arial" w:cs="Arial"/>
          <w:shd w:val="clear" w:color="auto" w:fill="FFFFFF"/>
          <w:lang w:val="en-US"/>
        </w:rPr>
        <w:t xml:space="preserve"> to the applicant of </w:t>
      </w:r>
      <w:r w:rsidR="0008687A" w:rsidRPr="00D92861">
        <w:rPr>
          <w:rFonts w:ascii="Arial" w:hAnsi="Arial" w:cs="Arial"/>
          <w:shd w:val="clear" w:color="auto" w:fill="FFFFFF"/>
          <w:lang w:val="en-US"/>
        </w:rPr>
        <w:t xml:space="preserve">patent EP 329 </w:t>
      </w:r>
      <w:r w:rsidR="0031571A" w:rsidRPr="00D92861">
        <w:rPr>
          <w:rFonts w:ascii="Arial" w:hAnsi="Arial" w:cs="Arial"/>
          <w:shd w:val="clear" w:color="auto" w:fill="FFFFFF"/>
          <w:lang w:val="en-US"/>
        </w:rPr>
        <w:t>(The Welcome Foundation LTD)</w:t>
      </w:r>
      <w:r w:rsidR="00CB5D2A">
        <w:rPr>
          <w:rFonts w:ascii="Arial" w:hAnsi="Arial" w:cs="Arial"/>
          <w:shd w:val="clear" w:color="auto" w:fill="FFFFFF"/>
          <w:lang w:val="en-US"/>
        </w:rPr>
        <w:t>;</w:t>
      </w:r>
      <w:r w:rsidR="0031571A" w:rsidRPr="00D92861">
        <w:rPr>
          <w:rFonts w:ascii="Arial" w:hAnsi="Arial" w:cs="Arial"/>
          <w:shd w:val="clear" w:color="auto" w:fill="FFFFFF"/>
          <w:lang w:val="en-US"/>
        </w:rPr>
        <w:t xml:space="preserve"> therefore</w:t>
      </w:r>
      <w:r w:rsidR="00CB5D2A">
        <w:rPr>
          <w:rFonts w:ascii="Arial" w:hAnsi="Arial" w:cs="Arial"/>
          <w:shd w:val="clear" w:color="auto" w:fill="FFFFFF"/>
          <w:lang w:val="en-US"/>
        </w:rPr>
        <w:t>,</w:t>
      </w:r>
      <w:r w:rsidR="0031571A" w:rsidRPr="00D92861">
        <w:rPr>
          <w:rFonts w:ascii="Arial" w:hAnsi="Arial" w:cs="Arial"/>
          <w:shd w:val="clear" w:color="auto" w:fill="FFFFFF"/>
          <w:lang w:val="en-US"/>
        </w:rPr>
        <w:t xml:space="preserve"> only the patent holder had access to it</w:t>
      </w:r>
      <w:r w:rsidR="00A92EF1" w:rsidRPr="00D92861">
        <w:rPr>
          <w:rFonts w:ascii="Arial" w:hAnsi="Arial" w:cs="Arial"/>
          <w:shd w:val="clear" w:color="auto" w:fill="FFFFFF"/>
          <w:lang w:val="en-US"/>
        </w:rPr>
        <w:t xml:space="preserve"> before the priority date of ES 348 (July 28, 1994)</w:t>
      </w:r>
      <w:r w:rsidR="0031571A" w:rsidRPr="00D92861">
        <w:rPr>
          <w:rFonts w:ascii="Arial" w:hAnsi="Arial" w:cs="Arial"/>
          <w:shd w:val="clear" w:color="auto" w:fill="FFFFFF"/>
          <w:lang w:val="en-US"/>
        </w:rPr>
        <w:t xml:space="preserve">. </w:t>
      </w:r>
      <w:r w:rsidR="00E87B65" w:rsidRPr="00D92861">
        <w:rPr>
          <w:rFonts w:ascii="Arial" w:hAnsi="Arial" w:cs="Arial"/>
          <w:shd w:val="clear" w:color="auto" w:fill="FFFFFF"/>
          <w:lang w:val="en-US"/>
        </w:rPr>
        <w:t>At that time</w:t>
      </w:r>
      <w:r w:rsidR="00CB5D2A">
        <w:rPr>
          <w:rFonts w:ascii="Arial" w:hAnsi="Arial" w:cs="Arial"/>
          <w:shd w:val="clear" w:color="auto" w:fill="FFFFFF"/>
          <w:lang w:val="en-US"/>
        </w:rPr>
        <w:t>,</w:t>
      </w:r>
      <w:r w:rsidR="0031571A" w:rsidRPr="00D92861">
        <w:rPr>
          <w:rFonts w:ascii="Arial" w:hAnsi="Arial" w:cs="Arial"/>
          <w:shd w:val="clear" w:color="auto" w:fill="FFFFFF"/>
          <w:lang w:val="en-US"/>
        </w:rPr>
        <w:t xml:space="preserve"> the European Patent Register was not accessible via </w:t>
      </w:r>
      <w:r w:rsidR="00CB5D2A">
        <w:rPr>
          <w:rFonts w:ascii="Arial" w:hAnsi="Arial" w:cs="Arial"/>
          <w:shd w:val="clear" w:color="auto" w:fill="FFFFFF"/>
          <w:lang w:val="en-US"/>
        </w:rPr>
        <w:t xml:space="preserve">the </w:t>
      </w:r>
      <w:r w:rsidR="0031571A" w:rsidRPr="00D92861">
        <w:rPr>
          <w:rFonts w:ascii="Arial" w:hAnsi="Arial" w:cs="Arial"/>
          <w:shd w:val="clear" w:color="auto" w:fill="FFFFFF"/>
          <w:lang w:val="en-US"/>
        </w:rPr>
        <w:t>internet</w:t>
      </w:r>
      <w:r w:rsidR="00CB5D2A">
        <w:rPr>
          <w:rFonts w:ascii="Arial" w:hAnsi="Arial" w:cs="Arial"/>
          <w:shd w:val="clear" w:color="auto" w:fill="FFFFFF"/>
          <w:lang w:val="en-US"/>
        </w:rPr>
        <w:t>;</w:t>
      </w:r>
      <w:r w:rsidR="0031571A" w:rsidRPr="00D92861">
        <w:rPr>
          <w:rFonts w:ascii="Arial" w:hAnsi="Arial" w:cs="Arial"/>
          <w:shd w:val="clear" w:color="auto" w:fill="FFFFFF"/>
          <w:lang w:val="en-US"/>
        </w:rPr>
        <w:t xml:space="preserve"> therefore, the </w:t>
      </w:r>
      <w:r w:rsidR="00F32D8B" w:rsidRPr="00D92861">
        <w:rPr>
          <w:rFonts w:ascii="Arial" w:hAnsi="Arial" w:cs="Arial"/>
          <w:shd w:val="clear" w:color="auto" w:fill="FFFFFF"/>
          <w:lang w:val="en-US"/>
        </w:rPr>
        <w:t xml:space="preserve">sending </w:t>
      </w:r>
      <w:r w:rsidR="0031571A" w:rsidRPr="00D92861">
        <w:rPr>
          <w:rFonts w:ascii="Arial" w:hAnsi="Arial" w:cs="Arial"/>
          <w:shd w:val="clear" w:color="auto" w:fill="FFFFFF"/>
          <w:lang w:val="en-US"/>
        </w:rPr>
        <w:t xml:space="preserve">of the </w:t>
      </w:r>
      <w:proofErr w:type="spellStart"/>
      <w:r w:rsidR="0031571A" w:rsidRPr="00D92861">
        <w:rPr>
          <w:rFonts w:ascii="Arial" w:hAnsi="Arial" w:cs="Arial"/>
          <w:i/>
          <w:shd w:val="clear" w:color="auto" w:fill="FFFFFF"/>
          <w:lang w:val="en-US"/>
        </w:rPr>
        <w:t>Druckexemplar</w:t>
      </w:r>
      <w:proofErr w:type="spellEnd"/>
      <w:r w:rsidR="0031571A" w:rsidRPr="00D92861">
        <w:rPr>
          <w:rFonts w:ascii="Arial" w:hAnsi="Arial" w:cs="Arial"/>
          <w:shd w:val="clear" w:color="auto" w:fill="FFFFFF"/>
          <w:lang w:val="en-US"/>
        </w:rPr>
        <w:t xml:space="preserve"> was not </w:t>
      </w:r>
      <w:r w:rsidR="00CB5D2A">
        <w:rPr>
          <w:rFonts w:ascii="Arial" w:hAnsi="Arial" w:cs="Arial"/>
          <w:shd w:val="clear" w:color="auto" w:fill="FFFFFF"/>
          <w:lang w:val="en-US"/>
        </w:rPr>
        <w:t>recorded</w:t>
      </w:r>
      <w:r w:rsidR="0031571A" w:rsidRPr="00D92861">
        <w:rPr>
          <w:rFonts w:ascii="Arial" w:hAnsi="Arial" w:cs="Arial"/>
          <w:shd w:val="clear" w:color="auto" w:fill="FFFFFF"/>
          <w:lang w:val="en-US"/>
        </w:rPr>
        <w:t xml:space="preserve">. </w:t>
      </w:r>
      <w:r w:rsidR="0008687A" w:rsidRPr="00D92861">
        <w:rPr>
          <w:rFonts w:ascii="Arial" w:hAnsi="Arial" w:cs="Arial"/>
          <w:shd w:val="clear" w:color="auto" w:fill="FFFFFF"/>
          <w:lang w:val="en-US"/>
        </w:rPr>
        <w:t>According to Roche, g</w:t>
      </w:r>
      <w:r w:rsidR="0031571A" w:rsidRPr="00D92861">
        <w:rPr>
          <w:rFonts w:ascii="Arial" w:hAnsi="Arial" w:cs="Arial"/>
          <w:shd w:val="clear" w:color="auto" w:fill="FFFFFF"/>
          <w:lang w:val="en-US"/>
        </w:rPr>
        <w:t xml:space="preserve">iven the short time period </w:t>
      </w:r>
      <w:r w:rsidR="0008687A" w:rsidRPr="00D92861">
        <w:rPr>
          <w:rFonts w:ascii="Arial" w:hAnsi="Arial" w:cs="Arial"/>
          <w:shd w:val="clear" w:color="auto" w:fill="FFFFFF"/>
          <w:lang w:val="en-US"/>
        </w:rPr>
        <w:t xml:space="preserve">elapsed </w:t>
      </w:r>
      <w:r w:rsidR="0031571A" w:rsidRPr="00D92861">
        <w:rPr>
          <w:rFonts w:ascii="Arial" w:hAnsi="Arial" w:cs="Arial"/>
          <w:shd w:val="clear" w:color="auto" w:fill="FFFFFF"/>
          <w:lang w:val="en-US"/>
        </w:rPr>
        <w:t xml:space="preserve">between May 9 and July 28, 1994, it was impossible for third parties to </w:t>
      </w:r>
      <w:r w:rsidR="00B82852" w:rsidRPr="00D92861">
        <w:rPr>
          <w:rFonts w:ascii="Arial" w:hAnsi="Arial" w:cs="Arial"/>
          <w:shd w:val="clear" w:color="auto" w:fill="FFFFFF"/>
          <w:lang w:val="en-US"/>
        </w:rPr>
        <w:t>potentially find said document</w:t>
      </w:r>
      <w:r w:rsidR="0031571A" w:rsidRPr="00D92861">
        <w:rPr>
          <w:rFonts w:ascii="Arial" w:hAnsi="Arial" w:cs="Arial"/>
          <w:shd w:val="clear" w:color="auto" w:fill="FFFFFF"/>
          <w:lang w:val="en-US"/>
        </w:rPr>
        <w:t xml:space="preserve">. </w:t>
      </w:r>
    </w:p>
    <w:p w:rsidR="00C66F0B" w:rsidRPr="00D92861" w:rsidRDefault="00A92EF1" w:rsidP="00C66F0B">
      <w:pPr>
        <w:jc w:val="both"/>
        <w:rPr>
          <w:rFonts w:ascii="Arial" w:hAnsi="Arial" w:cs="Arial"/>
          <w:lang w:val="en-US"/>
        </w:rPr>
      </w:pPr>
      <w:r w:rsidRPr="00D92861">
        <w:rPr>
          <w:rFonts w:ascii="Arial" w:hAnsi="Arial" w:cs="Arial"/>
          <w:lang w:val="en-US"/>
        </w:rPr>
        <w:t>The</w:t>
      </w:r>
      <w:r w:rsidR="00C66F0B" w:rsidRPr="00D92861">
        <w:rPr>
          <w:rFonts w:ascii="Arial" w:hAnsi="Arial" w:cs="Arial"/>
          <w:lang w:val="en-US"/>
        </w:rPr>
        <w:t xml:space="preserve"> Court of Appeal</w:t>
      </w:r>
      <w:r w:rsidR="00983A46">
        <w:rPr>
          <w:rFonts w:ascii="Arial" w:hAnsi="Arial" w:cs="Arial"/>
          <w:lang w:val="en-US"/>
        </w:rPr>
        <w:t>s</w:t>
      </w:r>
      <w:r w:rsidR="00C66F0B" w:rsidRPr="00D92861">
        <w:rPr>
          <w:rFonts w:ascii="Arial" w:hAnsi="Arial" w:cs="Arial"/>
          <w:lang w:val="en-US"/>
        </w:rPr>
        <w:t xml:space="preserve"> </w:t>
      </w:r>
      <w:r w:rsidR="00A60B31" w:rsidRPr="00D92861">
        <w:rPr>
          <w:rFonts w:ascii="Arial" w:hAnsi="Arial" w:cs="Arial"/>
          <w:lang w:val="en-US"/>
        </w:rPr>
        <w:t>agreed with</w:t>
      </w:r>
      <w:r w:rsidR="00C66F0B" w:rsidRPr="00D92861">
        <w:rPr>
          <w:rFonts w:ascii="Arial" w:hAnsi="Arial" w:cs="Arial"/>
          <w:lang w:val="en-US"/>
        </w:rPr>
        <w:t xml:space="preserve"> the conclusions </w:t>
      </w:r>
      <w:r w:rsidR="00A60B31" w:rsidRPr="00D92861">
        <w:rPr>
          <w:rFonts w:ascii="Arial" w:hAnsi="Arial" w:cs="Arial"/>
          <w:lang w:val="en-US"/>
        </w:rPr>
        <w:t xml:space="preserve">reached in the </w:t>
      </w:r>
      <w:r w:rsidR="00BD3501" w:rsidRPr="00D92861">
        <w:rPr>
          <w:rFonts w:ascii="Arial" w:hAnsi="Arial" w:cs="Arial"/>
          <w:lang w:val="en-US"/>
        </w:rPr>
        <w:t>F</w:t>
      </w:r>
      <w:r w:rsidR="00A60B31" w:rsidRPr="00D92861">
        <w:rPr>
          <w:rFonts w:ascii="Arial" w:hAnsi="Arial" w:cs="Arial"/>
          <w:lang w:val="en-US"/>
        </w:rPr>
        <w:t xml:space="preserve">irst </w:t>
      </w:r>
      <w:r w:rsidR="00BD3501" w:rsidRPr="00D92861">
        <w:rPr>
          <w:rFonts w:ascii="Arial" w:hAnsi="Arial" w:cs="Arial"/>
          <w:lang w:val="en-US"/>
        </w:rPr>
        <w:t>I</w:t>
      </w:r>
      <w:r w:rsidR="00A60B31" w:rsidRPr="00D92861">
        <w:rPr>
          <w:rFonts w:ascii="Arial" w:hAnsi="Arial" w:cs="Arial"/>
          <w:lang w:val="en-US"/>
        </w:rPr>
        <w:t>nstance decision</w:t>
      </w:r>
      <w:r w:rsidR="00C66F0B" w:rsidRPr="00D92861">
        <w:rPr>
          <w:rFonts w:ascii="Arial" w:hAnsi="Arial" w:cs="Arial"/>
          <w:lang w:val="en-US"/>
        </w:rPr>
        <w:t xml:space="preserve">, which accepts the </w:t>
      </w:r>
      <w:proofErr w:type="spellStart"/>
      <w:r w:rsidR="00A60B31" w:rsidRPr="00D92861">
        <w:rPr>
          <w:rFonts w:ascii="Arial" w:hAnsi="Arial" w:cs="Arial"/>
          <w:i/>
          <w:lang w:val="en-US"/>
        </w:rPr>
        <w:t>D</w:t>
      </w:r>
      <w:r w:rsidR="00C66F0B" w:rsidRPr="00D92861">
        <w:rPr>
          <w:rFonts w:ascii="Arial" w:hAnsi="Arial" w:cs="Arial"/>
          <w:i/>
          <w:lang w:val="en-US"/>
        </w:rPr>
        <w:t>ruckexemplar</w:t>
      </w:r>
      <w:proofErr w:type="spellEnd"/>
      <w:r w:rsidR="00C66F0B" w:rsidRPr="00D92861">
        <w:rPr>
          <w:rFonts w:ascii="Arial" w:hAnsi="Arial" w:cs="Arial"/>
          <w:lang w:val="en-US"/>
        </w:rPr>
        <w:t xml:space="preserve"> as the closest </w:t>
      </w:r>
      <w:r w:rsidR="00A60B31" w:rsidRPr="00D92861">
        <w:rPr>
          <w:rFonts w:ascii="Arial" w:hAnsi="Arial" w:cs="Arial"/>
          <w:lang w:val="en-US"/>
        </w:rPr>
        <w:t>prior art document</w:t>
      </w:r>
      <w:r w:rsidR="00C66F0B" w:rsidRPr="00D92861">
        <w:rPr>
          <w:rFonts w:ascii="Arial" w:hAnsi="Arial" w:cs="Arial"/>
          <w:lang w:val="en-US"/>
        </w:rPr>
        <w:t>.</w:t>
      </w:r>
      <w:r w:rsidR="00956292" w:rsidRPr="00D92861">
        <w:rPr>
          <w:rFonts w:ascii="Arial" w:hAnsi="Arial" w:cs="Arial"/>
          <w:lang w:val="en-US"/>
        </w:rPr>
        <w:t xml:space="preserve"> </w:t>
      </w:r>
      <w:r w:rsidR="0031571A" w:rsidRPr="00D92861">
        <w:rPr>
          <w:rFonts w:ascii="Arial" w:hAnsi="Arial" w:cs="Arial"/>
          <w:lang w:val="en-US"/>
        </w:rPr>
        <w:t>The Court refers to</w:t>
      </w:r>
      <w:r w:rsidR="00C66F0B" w:rsidRPr="00D92861">
        <w:rPr>
          <w:rFonts w:ascii="Arial" w:hAnsi="Arial" w:cs="Arial"/>
          <w:lang w:val="en-US"/>
        </w:rPr>
        <w:t xml:space="preserve"> </w:t>
      </w:r>
      <w:r w:rsidR="0031571A" w:rsidRPr="00D92861">
        <w:rPr>
          <w:rFonts w:ascii="Arial" w:hAnsi="Arial" w:cs="Arial"/>
          <w:lang w:val="en-US"/>
        </w:rPr>
        <w:t>a</w:t>
      </w:r>
      <w:r w:rsidR="00C66F0B" w:rsidRPr="00D92861">
        <w:rPr>
          <w:rFonts w:ascii="Arial" w:hAnsi="Arial" w:cs="Arial"/>
          <w:lang w:val="en-US"/>
        </w:rPr>
        <w:t>rticle</w:t>
      </w:r>
      <w:r w:rsidR="0031571A" w:rsidRPr="00D92861">
        <w:rPr>
          <w:rFonts w:ascii="Arial" w:hAnsi="Arial" w:cs="Arial"/>
          <w:lang w:val="en-US"/>
        </w:rPr>
        <w:t>s</w:t>
      </w:r>
      <w:r w:rsidR="00C66F0B" w:rsidRPr="00D92861">
        <w:rPr>
          <w:rFonts w:ascii="Arial" w:hAnsi="Arial" w:cs="Arial"/>
          <w:lang w:val="en-US"/>
        </w:rPr>
        <w:t xml:space="preserve"> 54.2 </w:t>
      </w:r>
      <w:r w:rsidR="0031571A" w:rsidRPr="00D92861">
        <w:rPr>
          <w:rFonts w:ascii="Arial" w:hAnsi="Arial" w:cs="Arial"/>
          <w:lang w:val="en-US"/>
        </w:rPr>
        <w:t>and</w:t>
      </w:r>
      <w:r w:rsidR="00A60B31" w:rsidRPr="00D92861">
        <w:rPr>
          <w:rFonts w:ascii="Arial" w:hAnsi="Arial" w:cs="Arial"/>
          <w:lang w:val="en-US"/>
        </w:rPr>
        <w:t xml:space="preserve"> 128.4</w:t>
      </w:r>
      <w:r w:rsidR="00C66F0B" w:rsidRPr="00D92861">
        <w:rPr>
          <w:rFonts w:ascii="Arial" w:hAnsi="Arial" w:cs="Arial"/>
          <w:lang w:val="en-US"/>
        </w:rPr>
        <w:t xml:space="preserve"> EPC</w:t>
      </w:r>
      <w:r w:rsidR="00983A46">
        <w:rPr>
          <w:rFonts w:ascii="Arial" w:hAnsi="Arial" w:cs="Arial"/>
          <w:lang w:val="en-US"/>
        </w:rPr>
        <w:t>,</w:t>
      </w:r>
      <w:r w:rsidR="00C66F0B" w:rsidRPr="00D92861">
        <w:rPr>
          <w:rFonts w:ascii="Arial" w:hAnsi="Arial" w:cs="Arial"/>
          <w:lang w:val="en-US"/>
        </w:rPr>
        <w:t xml:space="preserve"> </w:t>
      </w:r>
      <w:r w:rsidR="0031571A" w:rsidRPr="00D92861">
        <w:rPr>
          <w:rFonts w:ascii="Arial" w:hAnsi="Arial" w:cs="Arial"/>
          <w:lang w:val="en-US"/>
        </w:rPr>
        <w:t xml:space="preserve">which </w:t>
      </w:r>
      <w:r w:rsidR="00C66F0B" w:rsidRPr="00D92861">
        <w:rPr>
          <w:rFonts w:ascii="Arial" w:hAnsi="Arial" w:cs="Arial"/>
          <w:lang w:val="en-US"/>
        </w:rPr>
        <w:t xml:space="preserve">stipulate that European patent application files </w:t>
      </w:r>
      <w:r w:rsidR="006F6F46" w:rsidRPr="00D92861">
        <w:rPr>
          <w:rFonts w:ascii="Arial" w:hAnsi="Arial" w:cs="Arial"/>
          <w:lang w:val="en-US"/>
        </w:rPr>
        <w:t>can</w:t>
      </w:r>
      <w:r w:rsidR="00C66F0B" w:rsidRPr="00D92861">
        <w:rPr>
          <w:rFonts w:ascii="Arial" w:hAnsi="Arial" w:cs="Arial"/>
          <w:lang w:val="en-US"/>
        </w:rPr>
        <w:t xml:space="preserve"> be inspected and</w:t>
      </w:r>
      <w:r w:rsidR="006F6F46" w:rsidRPr="00D92861">
        <w:rPr>
          <w:rFonts w:ascii="Arial" w:hAnsi="Arial" w:cs="Arial"/>
          <w:lang w:val="en-US"/>
        </w:rPr>
        <w:t xml:space="preserve"> are,</w:t>
      </w:r>
      <w:r w:rsidR="00C66F0B" w:rsidRPr="00D92861">
        <w:rPr>
          <w:rFonts w:ascii="Arial" w:hAnsi="Arial" w:cs="Arial"/>
          <w:lang w:val="en-US"/>
        </w:rPr>
        <w:t xml:space="preserve"> therefore</w:t>
      </w:r>
      <w:r w:rsidR="006F6F46" w:rsidRPr="00D92861">
        <w:rPr>
          <w:rFonts w:ascii="Arial" w:hAnsi="Arial" w:cs="Arial"/>
          <w:lang w:val="en-US"/>
        </w:rPr>
        <w:t>,</w:t>
      </w:r>
      <w:r w:rsidR="00C66F0B" w:rsidRPr="00D92861">
        <w:rPr>
          <w:rFonts w:ascii="Arial" w:hAnsi="Arial" w:cs="Arial"/>
          <w:lang w:val="en-US"/>
        </w:rPr>
        <w:t xml:space="preserve"> </w:t>
      </w:r>
      <w:r w:rsidR="00983A46">
        <w:rPr>
          <w:rFonts w:ascii="Arial" w:hAnsi="Arial" w:cs="Arial"/>
          <w:lang w:val="en-US"/>
        </w:rPr>
        <w:t xml:space="preserve">publicly </w:t>
      </w:r>
      <w:r w:rsidR="00C66F0B" w:rsidRPr="00D92861">
        <w:rPr>
          <w:rFonts w:ascii="Arial" w:hAnsi="Arial" w:cs="Arial"/>
          <w:lang w:val="en-US"/>
        </w:rPr>
        <w:t xml:space="preserve">accessible from the date of publication. </w:t>
      </w:r>
    </w:p>
    <w:p w:rsidR="00A60B31" w:rsidRPr="00D92861" w:rsidRDefault="006F6F46" w:rsidP="00A60B31">
      <w:pPr>
        <w:jc w:val="both"/>
        <w:rPr>
          <w:rFonts w:ascii="Arial" w:hAnsi="Arial" w:cs="Arial"/>
          <w:lang w:val="en-US"/>
        </w:rPr>
      </w:pPr>
      <w:r w:rsidRPr="00D92861">
        <w:rPr>
          <w:rFonts w:ascii="Arial" w:hAnsi="Arial" w:cs="Arial"/>
          <w:lang w:val="en-US"/>
        </w:rPr>
        <w:t>As the Commercial Court stated in the appealed decision</w:t>
      </w:r>
      <w:r w:rsidR="00A60B31" w:rsidRPr="00D92861">
        <w:rPr>
          <w:rFonts w:ascii="Arial" w:hAnsi="Arial" w:cs="Arial"/>
          <w:lang w:val="en-US"/>
        </w:rPr>
        <w:t>, it is not necessary to demonstrate that certain information has been accessed</w:t>
      </w:r>
      <w:r w:rsidR="00387E62">
        <w:rPr>
          <w:rFonts w:ascii="Arial" w:hAnsi="Arial" w:cs="Arial"/>
          <w:lang w:val="en-US"/>
        </w:rPr>
        <w:t xml:space="preserve"> for </w:t>
      </w:r>
      <w:r w:rsidR="00A60B31" w:rsidRPr="00D92861">
        <w:rPr>
          <w:rFonts w:ascii="Arial" w:hAnsi="Arial" w:cs="Arial"/>
          <w:lang w:val="en-US"/>
        </w:rPr>
        <w:t xml:space="preserve">accessibility </w:t>
      </w:r>
      <w:r w:rsidR="00387E62">
        <w:rPr>
          <w:rFonts w:ascii="Arial" w:hAnsi="Arial" w:cs="Arial"/>
          <w:lang w:val="en-US"/>
        </w:rPr>
        <w:t>to exist</w:t>
      </w:r>
      <w:r w:rsidR="00A60B31" w:rsidRPr="00D92861">
        <w:rPr>
          <w:rFonts w:ascii="Arial" w:hAnsi="Arial" w:cs="Arial"/>
          <w:lang w:val="en-US"/>
        </w:rPr>
        <w:t xml:space="preserve">. The mere possibility of </w:t>
      </w:r>
      <w:r w:rsidR="00387E62">
        <w:rPr>
          <w:rFonts w:ascii="Arial" w:hAnsi="Arial" w:cs="Arial"/>
          <w:lang w:val="en-US"/>
        </w:rPr>
        <w:t xml:space="preserve">a third party accessing </w:t>
      </w:r>
      <w:r w:rsidR="006D6B5C">
        <w:rPr>
          <w:rFonts w:ascii="Arial" w:hAnsi="Arial" w:cs="Arial"/>
          <w:lang w:val="en-US"/>
        </w:rPr>
        <w:t>a</w:t>
      </w:r>
      <w:r w:rsidR="006D6B5C" w:rsidRPr="00D92861">
        <w:rPr>
          <w:rFonts w:ascii="Arial" w:hAnsi="Arial" w:cs="Arial"/>
          <w:lang w:val="en-US"/>
        </w:rPr>
        <w:t xml:space="preserve"> </w:t>
      </w:r>
      <w:r w:rsidR="00A60B31" w:rsidRPr="00D92861">
        <w:rPr>
          <w:rFonts w:ascii="Arial" w:hAnsi="Arial" w:cs="Arial"/>
          <w:lang w:val="en-US"/>
        </w:rPr>
        <w:t xml:space="preserve">document implies that it is part of the state of the art. </w:t>
      </w:r>
    </w:p>
    <w:p w:rsidR="00C65798" w:rsidRPr="00D92861" w:rsidRDefault="00C65798" w:rsidP="00AC584A">
      <w:pPr>
        <w:jc w:val="both"/>
        <w:rPr>
          <w:rFonts w:ascii="Arial" w:hAnsi="Arial" w:cs="Arial"/>
          <w:lang w:val="en-US"/>
        </w:rPr>
      </w:pPr>
      <w:r w:rsidRPr="00D92861">
        <w:rPr>
          <w:rFonts w:ascii="Arial" w:hAnsi="Arial" w:cs="Arial"/>
          <w:lang w:val="en-US"/>
        </w:rPr>
        <w:t>In this case, the communication from the Examination Division</w:t>
      </w:r>
      <w:r w:rsidR="00B82852" w:rsidRPr="00D92861">
        <w:rPr>
          <w:rFonts w:ascii="Arial" w:hAnsi="Arial" w:cs="Arial"/>
          <w:lang w:val="en-US"/>
        </w:rPr>
        <w:t xml:space="preserve"> to the holder of patent EP 329</w:t>
      </w:r>
      <w:r w:rsidRPr="00D92861">
        <w:rPr>
          <w:rFonts w:ascii="Arial" w:hAnsi="Arial" w:cs="Arial"/>
          <w:lang w:val="en-US"/>
        </w:rPr>
        <w:t xml:space="preserve"> was carried out in accordance with the provisions of Article 51.4 of the Implementing Regulation of the </w:t>
      </w:r>
      <w:r w:rsidR="006F6F46" w:rsidRPr="00D92861">
        <w:rPr>
          <w:rFonts w:ascii="Arial" w:hAnsi="Arial" w:cs="Arial"/>
          <w:lang w:val="en-US"/>
        </w:rPr>
        <w:t xml:space="preserve">EPC, </w:t>
      </w:r>
      <w:r w:rsidR="00F32D8B" w:rsidRPr="00D92861">
        <w:rPr>
          <w:rFonts w:ascii="Arial" w:hAnsi="Arial" w:cs="Arial"/>
          <w:lang w:val="en-US"/>
        </w:rPr>
        <w:t>which</w:t>
      </w:r>
      <w:r w:rsidRPr="00D92861">
        <w:rPr>
          <w:rFonts w:ascii="Arial" w:hAnsi="Arial" w:cs="Arial"/>
          <w:lang w:val="en-US"/>
        </w:rPr>
        <w:t xml:space="preserve"> is a formality in the proceedings before the European Patent Office covered by article 128.4 EPC. </w:t>
      </w:r>
      <w:r w:rsidR="006F6F46" w:rsidRPr="00D92861">
        <w:rPr>
          <w:rFonts w:ascii="Arial" w:hAnsi="Arial" w:cs="Arial"/>
          <w:lang w:val="en-US"/>
        </w:rPr>
        <w:t>Considering that the “</w:t>
      </w:r>
      <w:proofErr w:type="spellStart"/>
      <w:r w:rsidR="006F6F46" w:rsidRPr="00D92861">
        <w:rPr>
          <w:rFonts w:ascii="Arial" w:hAnsi="Arial" w:cs="Arial"/>
          <w:i/>
          <w:lang w:val="en-US"/>
        </w:rPr>
        <w:t>Druckexemplar</w:t>
      </w:r>
      <w:proofErr w:type="spellEnd"/>
      <w:r w:rsidR="006F6F46" w:rsidRPr="00D92861">
        <w:rPr>
          <w:rFonts w:ascii="Arial" w:hAnsi="Arial" w:cs="Arial"/>
          <w:i/>
          <w:lang w:val="en-US"/>
        </w:rPr>
        <w:t>”</w:t>
      </w:r>
      <w:r w:rsidR="006F6F46" w:rsidRPr="00D92861">
        <w:rPr>
          <w:rFonts w:ascii="Arial" w:hAnsi="Arial" w:cs="Arial"/>
          <w:lang w:val="en-US"/>
        </w:rPr>
        <w:t xml:space="preserve"> is part of the </w:t>
      </w:r>
      <w:r w:rsidRPr="00D92861">
        <w:rPr>
          <w:rFonts w:ascii="Arial" w:hAnsi="Arial" w:cs="Arial"/>
          <w:lang w:val="en-US"/>
        </w:rPr>
        <w:t>dossier for the p</w:t>
      </w:r>
      <w:r w:rsidR="00B44D08" w:rsidRPr="00D92861">
        <w:rPr>
          <w:rFonts w:ascii="Arial" w:hAnsi="Arial" w:cs="Arial"/>
          <w:lang w:val="en-US"/>
        </w:rPr>
        <w:t xml:space="preserve">rosecution </w:t>
      </w:r>
      <w:r w:rsidRPr="00D92861">
        <w:rPr>
          <w:rFonts w:ascii="Arial" w:hAnsi="Arial" w:cs="Arial"/>
          <w:lang w:val="en-US"/>
        </w:rPr>
        <w:t>of a</w:t>
      </w:r>
      <w:r w:rsidR="00CD31BC">
        <w:rPr>
          <w:rFonts w:ascii="Arial" w:hAnsi="Arial" w:cs="Arial"/>
          <w:lang w:val="en-US"/>
        </w:rPr>
        <w:t xml:space="preserve"> previously published</w:t>
      </w:r>
      <w:r w:rsidRPr="00D92861">
        <w:rPr>
          <w:rFonts w:ascii="Arial" w:hAnsi="Arial" w:cs="Arial"/>
          <w:lang w:val="en-US"/>
        </w:rPr>
        <w:t xml:space="preserve"> European patent application, all the documents that </w:t>
      </w:r>
      <w:r w:rsidR="00B44D08" w:rsidRPr="00D92861">
        <w:rPr>
          <w:rFonts w:ascii="Arial" w:hAnsi="Arial" w:cs="Arial"/>
          <w:lang w:val="en-US"/>
        </w:rPr>
        <w:t xml:space="preserve">the dossier </w:t>
      </w:r>
      <w:r w:rsidRPr="00D92861">
        <w:rPr>
          <w:rFonts w:ascii="Arial" w:hAnsi="Arial" w:cs="Arial"/>
          <w:lang w:val="en-US"/>
        </w:rPr>
        <w:t>comprise</w:t>
      </w:r>
      <w:r w:rsidR="00B44D08" w:rsidRPr="00D92861">
        <w:rPr>
          <w:rFonts w:ascii="Arial" w:hAnsi="Arial" w:cs="Arial"/>
          <w:lang w:val="en-US"/>
        </w:rPr>
        <w:t>s</w:t>
      </w:r>
      <w:r w:rsidRPr="00D92861">
        <w:rPr>
          <w:rFonts w:ascii="Arial" w:hAnsi="Arial" w:cs="Arial"/>
          <w:lang w:val="en-US"/>
        </w:rPr>
        <w:t xml:space="preserve"> are subject to public inspection and, consequently, are part of the state of the art. </w:t>
      </w:r>
      <w:r w:rsidR="00484789" w:rsidRPr="00D92861">
        <w:rPr>
          <w:rFonts w:ascii="Arial" w:hAnsi="Arial" w:cs="Arial"/>
          <w:lang w:val="en-US"/>
        </w:rPr>
        <w:t xml:space="preserve">Therefore, </w:t>
      </w:r>
      <w:r w:rsidR="00BD3501" w:rsidRPr="00D92861">
        <w:rPr>
          <w:rFonts w:ascii="Arial" w:hAnsi="Arial" w:cs="Arial"/>
          <w:lang w:val="en-US"/>
        </w:rPr>
        <w:t xml:space="preserve">it is not </w:t>
      </w:r>
      <w:r w:rsidR="00CD31BC" w:rsidRPr="00D92861">
        <w:rPr>
          <w:rFonts w:ascii="Arial" w:hAnsi="Arial" w:cs="Arial"/>
          <w:lang w:val="en-US"/>
        </w:rPr>
        <w:t>mandatory</w:t>
      </w:r>
      <w:r w:rsidR="00BD3501" w:rsidRPr="00D92861">
        <w:rPr>
          <w:rFonts w:ascii="Arial" w:hAnsi="Arial" w:cs="Arial"/>
          <w:lang w:val="en-US"/>
        </w:rPr>
        <w:t xml:space="preserve"> </w:t>
      </w:r>
      <w:r w:rsidR="00484789" w:rsidRPr="00D92861">
        <w:rPr>
          <w:rFonts w:ascii="Arial" w:hAnsi="Arial" w:cs="Arial"/>
          <w:lang w:val="en-US"/>
        </w:rPr>
        <w:t>to prove the effective knowledge of the document</w:t>
      </w:r>
      <w:r w:rsidR="00CD31BC">
        <w:rPr>
          <w:rFonts w:ascii="Arial" w:hAnsi="Arial" w:cs="Arial"/>
          <w:lang w:val="en-US"/>
        </w:rPr>
        <w:t>;</w:t>
      </w:r>
      <w:r w:rsidR="00484789" w:rsidRPr="00D92861">
        <w:rPr>
          <w:rFonts w:ascii="Arial" w:hAnsi="Arial" w:cs="Arial"/>
          <w:lang w:val="en-US"/>
        </w:rPr>
        <w:t xml:space="preserve"> the mere fac</w:t>
      </w:r>
      <w:r w:rsidR="00BD3501" w:rsidRPr="00D92861">
        <w:rPr>
          <w:rFonts w:ascii="Arial" w:hAnsi="Arial" w:cs="Arial"/>
          <w:lang w:val="en-US"/>
        </w:rPr>
        <w:t xml:space="preserve">t of its availability is enough to consider that said document is part of the state of the art. </w:t>
      </w:r>
    </w:p>
    <w:p w:rsidR="00AA14BD" w:rsidRPr="00D92861" w:rsidRDefault="005C03B9" w:rsidP="00AA14BD">
      <w:pPr>
        <w:jc w:val="both"/>
        <w:rPr>
          <w:rFonts w:ascii="Arial" w:hAnsi="Arial" w:cs="Arial"/>
          <w:i/>
          <w:lang w:val="en-US"/>
        </w:rPr>
      </w:pPr>
      <w:r w:rsidRPr="00D92861">
        <w:rPr>
          <w:rFonts w:ascii="Arial" w:hAnsi="Arial" w:cs="Arial"/>
          <w:lang w:val="en-US"/>
        </w:rPr>
        <w:t>The Court of Appeal</w:t>
      </w:r>
      <w:r w:rsidR="007E493B">
        <w:rPr>
          <w:rFonts w:ascii="Arial" w:hAnsi="Arial" w:cs="Arial"/>
          <w:lang w:val="en-US"/>
        </w:rPr>
        <w:t>s</w:t>
      </w:r>
      <w:r w:rsidRPr="00D92861">
        <w:rPr>
          <w:rFonts w:ascii="Arial" w:hAnsi="Arial" w:cs="Arial"/>
          <w:lang w:val="en-US"/>
        </w:rPr>
        <w:t xml:space="preserve"> agreed with the conclusion reached by the First Instance Court regarding the lack of inventive step of patent </w:t>
      </w:r>
      <w:r w:rsidR="00956292" w:rsidRPr="00D92861">
        <w:rPr>
          <w:rFonts w:ascii="Arial" w:hAnsi="Arial" w:cs="Arial"/>
          <w:lang w:val="en-US"/>
        </w:rPr>
        <w:t>ES 348</w:t>
      </w:r>
      <w:r w:rsidRPr="00D92861">
        <w:rPr>
          <w:rFonts w:ascii="Arial" w:hAnsi="Arial" w:cs="Arial"/>
          <w:lang w:val="en-US"/>
        </w:rPr>
        <w:t xml:space="preserve"> </w:t>
      </w:r>
      <w:r w:rsidR="007E493B">
        <w:rPr>
          <w:rFonts w:ascii="Arial" w:hAnsi="Arial" w:cs="Arial"/>
          <w:lang w:val="en-US"/>
        </w:rPr>
        <w:t xml:space="preserve">concerning </w:t>
      </w:r>
      <w:r w:rsidRPr="00D92861">
        <w:rPr>
          <w:rFonts w:ascii="Arial" w:hAnsi="Arial" w:cs="Arial"/>
          <w:lang w:val="en-US"/>
        </w:rPr>
        <w:t>claim 1 in its limited version. Starting from the closest prior art document, the “</w:t>
      </w:r>
      <w:proofErr w:type="spellStart"/>
      <w:r w:rsidRPr="00D92861">
        <w:rPr>
          <w:rFonts w:ascii="Arial" w:hAnsi="Arial" w:cs="Arial"/>
          <w:i/>
          <w:lang w:val="en-US"/>
        </w:rPr>
        <w:t>Druckexemplar</w:t>
      </w:r>
      <w:proofErr w:type="spellEnd"/>
      <w:r w:rsidRPr="00D92861">
        <w:rPr>
          <w:rFonts w:ascii="Arial" w:hAnsi="Arial" w:cs="Arial"/>
          <w:i/>
          <w:lang w:val="en-US"/>
        </w:rPr>
        <w:t>”</w:t>
      </w:r>
      <w:r w:rsidRPr="00D92861">
        <w:rPr>
          <w:rFonts w:ascii="Arial" w:hAnsi="Arial" w:cs="Arial"/>
          <w:lang w:val="en-US"/>
        </w:rPr>
        <w:t xml:space="preserve">, </w:t>
      </w:r>
      <w:r w:rsidR="003510F5" w:rsidRPr="00D92861">
        <w:rPr>
          <w:rFonts w:ascii="Arial" w:hAnsi="Arial" w:cs="Arial"/>
          <w:lang w:val="en-US"/>
        </w:rPr>
        <w:t xml:space="preserve">the solution provided by patent </w:t>
      </w:r>
      <w:r w:rsidR="00956292" w:rsidRPr="00D92861">
        <w:rPr>
          <w:rFonts w:ascii="Arial" w:hAnsi="Arial" w:cs="Arial"/>
          <w:lang w:val="en-US"/>
        </w:rPr>
        <w:t>ES 348</w:t>
      </w:r>
      <w:r w:rsidRPr="00D92861">
        <w:rPr>
          <w:rFonts w:ascii="Arial" w:hAnsi="Arial" w:cs="Arial"/>
          <w:lang w:val="en-US"/>
        </w:rPr>
        <w:t xml:space="preserve"> would be obvi</w:t>
      </w:r>
      <w:r w:rsidR="003510F5" w:rsidRPr="00D92861">
        <w:rPr>
          <w:rFonts w:ascii="Arial" w:hAnsi="Arial" w:cs="Arial"/>
          <w:lang w:val="en-US"/>
        </w:rPr>
        <w:t xml:space="preserve">ous for the expert </w:t>
      </w:r>
      <w:r w:rsidR="007E493B">
        <w:rPr>
          <w:rFonts w:ascii="Arial" w:hAnsi="Arial" w:cs="Arial"/>
          <w:lang w:val="en-US"/>
        </w:rPr>
        <w:t>in</w:t>
      </w:r>
      <w:r w:rsidR="007E493B" w:rsidRPr="00D92861">
        <w:rPr>
          <w:rFonts w:ascii="Arial" w:hAnsi="Arial" w:cs="Arial"/>
          <w:lang w:val="en-US"/>
        </w:rPr>
        <w:t xml:space="preserve"> </w:t>
      </w:r>
      <w:r w:rsidR="003510F5" w:rsidRPr="00D92861">
        <w:rPr>
          <w:rFonts w:ascii="Arial" w:hAnsi="Arial" w:cs="Arial"/>
          <w:lang w:val="en-US"/>
        </w:rPr>
        <w:t>the field since said document mentions the two suitable solutions to increas</w:t>
      </w:r>
      <w:r w:rsidR="007E493B">
        <w:rPr>
          <w:rFonts w:ascii="Arial" w:hAnsi="Arial" w:cs="Arial"/>
          <w:lang w:val="en-US"/>
        </w:rPr>
        <w:t>ing</w:t>
      </w:r>
      <w:r w:rsidR="003510F5" w:rsidRPr="00D92861">
        <w:rPr>
          <w:rFonts w:ascii="Arial" w:hAnsi="Arial" w:cs="Arial"/>
          <w:lang w:val="en-US"/>
        </w:rPr>
        <w:t xml:space="preserve"> the oral bioavailability of ganciclovir, </w:t>
      </w:r>
      <w:r w:rsidR="00AA14BD" w:rsidRPr="00D92861">
        <w:rPr>
          <w:rFonts w:ascii="Arial" w:hAnsi="Arial" w:cs="Arial"/>
          <w:lang w:val="en-US"/>
        </w:rPr>
        <w:t xml:space="preserve">mono and </w:t>
      </w:r>
      <w:proofErr w:type="spellStart"/>
      <w:r w:rsidR="00AA14BD" w:rsidRPr="00D92861">
        <w:rPr>
          <w:rFonts w:ascii="Arial" w:hAnsi="Arial" w:cs="Arial"/>
          <w:lang w:val="en-US"/>
        </w:rPr>
        <w:t>bis</w:t>
      </w:r>
      <w:proofErr w:type="spellEnd"/>
      <w:r w:rsidR="003510F5" w:rsidRPr="00D92861">
        <w:rPr>
          <w:rFonts w:ascii="Arial" w:hAnsi="Arial" w:cs="Arial"/>
          <w:lang w:val="en-US"/>
        </w:rPr>
        <w:t xml:space="preserve"> </w:t>
      </w:r>
      <w:r w:rsidR="00AA14BD" w:rsidRPr="00D92861">
        <w:rPr>
          <w:rFonts w:ascii="Arial" w:hAnsi="Arial" w:cs="Arial"/>
          <w:lang w:val="en-US"/>
        </w:rPr>
        <w:t>L-valin</w:t>
      </w:r>
      <w:r w:rsidR="003510F5" w:rsidRPr="00D92861">
        <w:rPr>
          <w:rFonts w:ascii="Arial" w:hAnsi="Arial" w:cs="Arial"/>
          <w:lang w:val="en-US"/>
        </w:rPr>
        <w:t xml:space="preserve">e </w:t>
      </w:r>
      <w:r w:rsidR="00AA14BD" w:rsidRPr="00D92861">
        <w:rPr>
          <w:rFonts w:ascii="Arial" w:hAnsi="Arial" w:cs="Arial"/>
          <w:lang w:val="en-US"/>
        </w:rPr>
        <w:t xml:space="preserve">ester </w:t>
      </w:r>
      <w:r w:rsidR="003510F5" w:rsidRPr="00D92861">
        <w:rPr>
          <w:rFonts w:ascii="Arial" w:hAnsi="Arial" w:cs="Arial"/>
          <w:lang w:val="en-US"/>
        </w:rPr>
        <w:t>of ganciclovir</w:t>
      </w:r>
      <w:r w:rsidR="007E493B">
        <w:rPr>
          <w:rFonts w:ascii="Arial" w:hAnsi="Arial" w:cs="Arial"/>
          <w:lang w:val="en-US"/>
        </w:rPr>
        <w:t>,</w:t>
      </w:r>
      <w:r w:rsidR="003510F5" w:rsidRPr="00D92861">
        <w:rPr>
          <w:rFonts w:ascii="Arial" w:hAnsi="Arial" w:cs="Arial"/>
          <w:lang w:val="en-US"/>
        </w:rPr>
        <w:t xml:space="preserve"> without any preference for one over another. </w:t>
      </w:r>
      <w:r w:rsidR="00AA14BD" w:rsidRPr="00D92861">
        <w:rPr>
          <w:rFonts w:ascii="Arial" w:hAnsi="Arial" w:cs="Arial"/>
          <w:lang w:val="en-US"/>
        </w:rPr>
        <w:t>The “</w:t>
      </w:r>
      <w:proofErr w:type="spellStart"/>
      <w:r w:rsidR="00AA14BD" w:rsidRPr="00D92861">
        <w:rPr>
          <w:rFonts w:ascii="Arial" w:hAnsi="Arial" w:cs="Arial"/>
          <w:i/>
          <w:lang w:val="en-US"/>
        </w:rPr>
        <w:t>Druckexemplar</w:t>
      </w:r>
      <w:proofErr w:type="spellEnd"/>
      <w:r w:rsidR="00AA14BD" w:rsidRPr="00D92861">
        <w:rPr>
          <w:rFonts w:ascii="Arial" w:hAnsi="Arial" w:cs="Arial"/>
          <w:i/>
          <w:lang w:val="en-US"/>
        </w:rPr>
        <w:t xml:space="preserve">” </w:t>
      </w:r>
      <w:r w:rsidR="00AA14BD" w:rsidRPr="00D92861">
        <w:rPr>
          <w:rFonts w:ascii="Arial" w:hAnsi="Arial" w:cs="Arial"/>
          <w:lang w:val="en-US"/>
        </w:rPr>
        <w:t>refers to both the mono (</w:t>
      </w:r>
      <w:proofErr w:type="spellStart"/>
      <w:r w:rsidR="00AA14BD" w:rsidRPr="00D92861">
        <w:rPr>
          <w:rFonts w:ascii="Arial" w:hAnsi="Arial" w:cs="Arial"/>
          <w:lang w:val="en-US"/>
        </w:rPr>
        <w:t>valganciclovir</w:t>
      </w:r>
      <w:proofErr w:type="spellEnd"/>
      <w:r w:rsidR="00AA14BD" w:rsidRPr="00D92861">
        <w:rPr>
          <w:rFonts w:ascii="Arial" w:hAnsi="Arial" w:cs="Arial"/>
          <w:lang w:val="en-US"/>
        </w:rPr>
        <w:t xml:space="preserve">) and the </w:t>
      </w:r>
      <w:proofErr w:type="spellStart"/>
      <w:r w:rsidR="00AA14BD" w:rsidRPr="00D92861">
        <w:rPr>
          <w:rFonts w:ascii="Arial" w:hAnsi="Arial" w:cs="Arial"/>
          <w:lang w:val="en-US"/>
        </w:rPr>
        <w:t>bis</w:t>
      </w:r>
      <w:proofErr w:type="spellEnd"/>
      <w:r w:rsidR="00AA14BD" w:rsidRPr="00D92861">
        <w:rPr>
          <w:rFonts w:ascii="Arial" w:hAnsi="Arial" w:cs="Arial"/>
          <w:lang w:val="en-US"/>
        </w:rPr>
        <w:t>-ester valine of ganciclovir</w:t>
      </w:r>
      <w:r w:rsidR="007E493B">
        <w:rPr>
          <w:rFonts w:ascii="Arial" w:hAnsi="Arial" w:cs="Arial"/>
          <w:lang w:val="en-US"/>
        </w:rPr>
        <w:t>,</w:t>
      </w:r>
      <w:r w:rsidR="00AA14BD" w:rsidRPr="00D92861">
        <w:rPr>
          <w:rFonts w:ascii="Arial" w:hAnsi="Arial" w:cs="Arial"/>
          <w:lang w:val="en-US"/>
        </w:rPr>
        <w:t xml:space="preserve"> and according to said document every amino acid ester of valine (mono and </w:t>
      </w:r>
      <w:proofErr w:type="spellStart"/>
      <w:r w:rsidR="00AA14BD" w:rsidRPr="00D92861">
        <w:rPr>
          <w:rFonts w:ascii="Arial" w:hAnsi="Arial" w:cs="Arial"/>
          <w:lang w:val="en-US"/>
        </w:rPr>
        <w:t>bis</w:t>
      </w:r>
      <w:proofErr w:type="spellEnd"/>
      <w:r w:rsidR="00AA14BD" w:rsidRPr="00D92861">
        <w:rPr>
          <w:rFonts w:ascii="Arial" w:hAnsi="Arial" w:cs="Arial"/>
          <w:lang w:val="en-US"/>
        </w:rPr>
        <w:t>) “</w:t>
      </w:r>
      <w:r w:rsidR="00AA14BD" w:rsidRPr="00D92861">
        <w:rPr>
          <w:rFonts w:ascii="Arial" w:hAnsi="Arial" w:cs="Arial"/>
          <w:i/>
          <w:lang w:val="en-US"/>
        </w:rPr>
        <w:t xml:space="preserve">surprisingly” </w:t>
      </w:r>
      <w:r w:rsidR="00AA14BD" w:rsidRPr="00D92861">
        <w:rPr>
          <w:rFonts w:ascii="Arial" w:hAnsi="Arial" w:cs="Arial"/>
          <w:lang w:val="en-US"/>
        </w:rPr>
        <w:t>present</w:t>
      </w:r>
      <w:r w:rsidR="007E493B">
        <w:rPr>
          <w:rFonts w:ascii="Arial" w:hAnsi="Arial" w:cs="Arial"/>
          <w:lang w:val="en-US"/>
        </w:rPr>
        <w:t>s</w:t>
      </w:r>
      <w:r w:rsidR="00AA14BD" w:rsidRPr="00D92861">
        <w:rPr>
          <w:rFonts w:ascii="Arial" w:hAnsi="Arial" w:cs="Arial"/>
          <w:lang w:val="en-US"/>
        </w:rPr>
        <w:t xml:space="preserve"> </w:t>
      </w:r>
      <w:r w:rsidR="00AA14BD" w:rsidRPr="00D92861">
        <w:rPr>
          <w:rFonts w:ascii="Arial" w:hAnsi="Arial" w:cs="Arial"/>
          <w:i/>
          <w:lang w:val="en-US"/>
        </w:rPr>
        <w:t>“an advantageous bioavailability when orally administered”</w:t>
      </w:r>
      <w:r w:rsidR="00AA14BD" w:rsidRPr="00D92861">
        <w:rPr>
          <w:rFonts w:ascii="Arial" w:hAnsi="Arial" w:cs="Arial"/>
          <w:lang w:val="en-US"/>
        </w:rPr>
        <w:t xml:space="preserve">. </w:t>
      </w:r>
      <w:r w:rsidR="00AA14BD" w:rsidRPr="00D92861">
        <w:rPr>
          <w:rFonts w:ascii="Arial" w:hAnsi="Arial" w:cs="Arial"/>
          <w:i/>
          <w:lang w:val="en-US"/>
        </w:rPr>
        <w:t xml:space="preserve"> </w:t>
      </w:r>
    </w:p>
    <w:p w:rsidR="003510F5" w:rsidRPr="00D92861" w:rsidRDefault="00AA14BD" w:rsidP="00AC584A">
      <w:pPr>
        <w:jc w:val="both"/>
        <w:rPr>
          <w:rFonts w:ascii="Arial" w:hAnsi="Arial" w:cs="Arial"/>
          <w:lang w:val="en-US"/>
        </w:rPr>
      </w:pPr>
      <w:r w:rsidRPr="00D92861">
        <w:rPr>
          <w:rFonts w:ascii="Arial" w:hAnsi="Arial" w:cs="Arial"/>
          <w:lang w:val="en-US"/>
        </w:rPr>
        <w:lastRenderedPageBreak/>
        <w:t xml:space="preserve">On the other hand, the Court of </w:t>
      </w:r>
      <w:r w:rsidR="00C266E5">
        <w:rPr>
          <w:rFonts w:ascii="Arial" w:hAnsi="Arial" w:cs="Arial"/>
          <w:lang w:val="en-US"/>
        </w:rPr>
        <w:t>A</w:t>
      </w:r>
      <w:r w:rsidRPr="00D92861">
        <w:rPr>
          <w:rFonts w:ascii="Arial" w:hAnsi="Arial" w:cs="Arial"/>
          <w:lang w:val="en-US"/>
        </w:rPr>
        <w:t>ppeal</w:t>
      </w:r>
      <w:r w:rsidR="0028799A">
        <w:rPr>
          <w:rFonts w:ascii="Arial" w:hAnsi="Arial" w:cs="Arial"/>
          <w:lang w:val="en-US"/>
        </w:rPr>
        <w:t>s</w:t>
      </w:r>
      <w:r w:rsidR="003510F5" w:rsidRPr="00D92861">
        <w:rPr>
          <w:rFonts w:ascii="Arial" w:hAnsi="Arial" w:cs="Arial"/>
          <w:lang w:val="en-US"/>
        </w:rPr>
        <w:t xml:space="preserve"> also considered that non</w:t>
      </w:r>
      <w:r w:rsidR="00C266E5">
        <w:rPr>
          <w:rFonts w:ascii="Arial" w:hAnsi="Arial" w:cs="Arial"/>
          <w:lang w:val="en-US"/>
        </w:rPr>
        <w:t>e</w:t>
      </w:r>
      <w:r w:rsidR="003510F5" w:rsidRPr="00D92861">
        <w:rPr>
          <w:rFonts w:ascii="Arial" w:hAnsi="Arial" w:cs="Arial"/>
          <w:lang w:val="en-US"/>
        </w:rPr>
        <w:t xml:space="preserve"> of the three features added to </w:t>
      </w:r>
      <w:r w:rsidR="00A92EF1" w:rsidRPr="00D92861">
        <w:rPr>
          <w:rFonts w:ascii="Arial" w:hAnsi="Arial" w:cs="Arial"/>
          <w:lang w:val="en-US"/>
        </w:rPr>
        <w:t>claim 1 of patent ES 348</w:t>
      </w:r>
      <w:r w:rsidR="003510F5" w:rsidRPr="00D92861">
        <w:rPr>
          <w:rFonts w:ascii="Arial" w:hAnsi="Arial" w:cs="Arial"/>
          <w:lang w:val="en-US"/>
        </w:rPr>
        <w:t xml:space="preserve"> by means of its limitation support</w:t>
      </w:r>
      <w:r w:rsidR="00C266E5">
        <w:rPr>
          <w:rFonts w:ascii="Arial" w:hAnsi="Arial" w:cs="Arial"/>
          <w:lang w:val="en-US"/>
        </w:rPr>
        <w:t>ed</w:t>
      </w:r>
      <w:r w:rsidR="003510F5" w:rsidRPr="00D92861">
        <w:rPr>
          <w:rFonts w:ascii="Arial" w:hAnsi="Arial" w:cs="Arial"/>
          <w:lang w:val="en-US"/>
        </w:rPr>
        <w:t xml:space="preserve"> the presence of inventive step since it is not possible to sustain the inventive step of the amended patent</w:t>
      </w:r>
      <w:r w:rsidR="00530F36">
        <w:rPr>
          <w:rFonts w:ascii="Arial" w:hAnsi="Arial" w:cs="Arial"/>
          <w:lang w:val="en-US"/>
        </w:rPr>
        <w:t xml:space="preserve"> by</w:t>
      </w:r>
      <w:r w:rsidR="003510F5" w:rsidRPr="00D92861">
        <w:rPr>
          <w:rFonts w:ascii="Arial" w:hAnsi="Arial" w:cs="Arial"/>
          <w:lang w:val="en-US"/>
        </w:rPr>
        <w:t xml:space="preserve"> </w:t>
      </w:r>
      <w:r w:rsidR="00C266E5">
        <w:rPr>
          <w:rFonts w:ascii="Arial" w:hAnsi="Arial" w:cs="Arial"/>
          <w:lang w:val="en-US"/>
        </w:rPr>
        <w:t>arguing</w:t>
      </w:r>
      <w:r w:rsidR="00C266E5" w:rsidRPr="00D92861">
        <w:rPr>
          <w:rFonts w:ascii="Arial" w:hAnsi="Arial" w:cs="Arial"/>
          <w:lang w:val="en-US"/>
        </w:rPr>
        <w:t xml:space="preserve"> </w:t>
      </w:r>
      <w:r w:rsidRPr="00D92861">
        <w:rPr>
          <w:rFonts w:ascii="Arial" w:hAnsi="Arial" w:cs="Arial"/>
          <w:lang w:val="en-US"/>
        </w:rPr>
        <w:t xml:space="preserve">the specific properties of </w:t>
      </w:r>
      <w:proofErr w:type="spellStart"/>
      <w:r w:rsidRPr="00D92861">
        <w:rPr>
          <w:rFonts w:ascii="Arial" w:hAnsi="Arial" w:cs="Arial"/>
          <w:lang w:val="en-US"/>
        </w:rPr>
        <w:t>valganciclovir</w:t>
      </w:r>
      <w:proofErr w:type="spellEnd"/>
      <w:r w:rsidRPr="00D92861">
        <w:rPr>
          <w:rFonts w:ascii="Arial" w:hAnsi="Arial" w:cs="Arial"/>
          <w:lang w:val="en-US"/>
        </w:rPr>
        <w:t xml:space="preserve">. </w:t>
      </w:r>
    </w:p>
    <w:p w:rsidR="00D15114" w:rsidRPr="00D92861" w:rsidRDefault="006679FE" w:rsidP="006679FE">
      <w:pPr>
        <w:jc w:val="both"/>
        <w:rPr>
          <w:rFonts w:ascii="Arial" w:hAnsi="Arial" w:cs="Arial"/>
          <w:lang w:val="en-US"/>
        </w:rPr>
      </w:pPr>
      <w:r w:rsidRPr="00D92861">
        <w:rPr>
          <w:rFonts w:ascii="Arial" w:hAnsi="Arial" w:cs="Arial"/>
          <w:lang w:val="en-US"/>
        </w:rPr>
        <w:t>In this regard, the Court of Appeal</w:t>
      </w:r>
      <w:r w:rsidR="00514B34">
        <w:rPr>
          <w:rFonts w:ascii="Arial" w:hAnsi="Arial" w:cs="Arial"/>
          <w:lang w:val="en-US"/>
        </w:rPr>
        <w:t>s</w:t>
      </w:r>
      <w:r w:rsidRPr="00D92861">
        <w:rPr>
          <w:rFonts w:ascii="Arial" w:hAnsi="Arial" w:cs="Arial"/>
          <w:lang w:val="en-US"/>
        </w:rPr>
        <w:t xml:space="preserve"> </w:t>
      </w:r>
      <w:r w:rsidR="000A4A16" w:rsidRPr="00D92861">
        <w:rPr>
          <w:rFonts w:ascii="Arial" w:hAnsi="Arial" w:cs="Arial"/>
          <w:lang w:val="en-US"/>
        </w:rPr>
        <w:t>highlight</w:t>
      </w:r>
      <w:r w:rsidR="00956292" w:rsidRPr="00D92861">
        <w:rPr>
          <w:rFonts w:ascii="Arial" w:hAnsi="Arial" w:cs="Arial"/>
          <w:lang w:val="en-US"/>
        </w:rPr>
        <w:t>ed</w:t>
      </w:r>
      <w:r w:rsidR="000A4A16" w:rsidRPr="00D92861">
        <w:rPr>
          <w:rFonts w:ascii="Arial" w:hAnsi="Arial" w:cs="Arial"/>
          <w:lang w:val="en-US"/>
        </w:rPr>
        <w:t xml:space="preserve"> that the same </w:t>
      </w:r>
      <w:r w:rsidRPr="00D92861">
        <w:rPr>
          <w:rFonts w:ascii="Arial" w:hAnsi="Arial" w:cs="Arial"/>
          <w:lang w:val="en-US"/>
        </w:rPr>
        <w:t xml:space="preserve">decision </w:t>
      </w:r>
      <w:r w:rsidR="000A4A16" w:rsidRPr="00D92861">
        <w:rPr>
          <w:rFonts w:ascii="Arial" w:hAnsi="Arial" w:cs="Arial"/>
          <w:lang w:val="en-US"/>
        </w:rPr>
        <w:t xml:space="preserve">was </w:t>
      </w:r>
      <w:r w:rsidRPr="00D92861">
        <w:rPr>
          <w:rFonts w:ascii="Arial" w:hAnsi="Arial" w:cs="Arial"/>
          <w:lang w:val="en-US"/>
        </w:rPr>
        <w:t xml:space="preserve">reached by </w:t>
      </w:r>
      <w:r w:rsidR="0045305C">
        <w:rPr>
          <w:rFonts w:ascii="Arial" w:hAnsi="Arial" w:cs="Arial"/>
          <w:lang w:val="en-US"/>
        </w:rPr>
        <w:t xml:space="preserve">the </w:t>
      </w:r>
      <w:r w:rsidRPr="00D92861">
        <w:rPr>
          <w:rFonts w:ascii="Arial" w:hAnsi="Arial" w:cs="Arial"/>
          <w:lang w:val="en-US"/>
        </w:rPr>
        <w:t>German Federal Su</w:t>
      </w:r>
      <w:r w:rsidR="00B627FB" w:rsidRPr="00D92861">
        <w:rPr>
          <w:rFonts w:ascii="Arial" w:hAnsi="Arial" w:cs="Arial"/>
          <w:lang w:val="en-US"/>
        </w:rPr>
        <w:t xml:space="preserve">preme Court </w:t>
      </w:r>
      <w:r w:rsidR="00514B34">
        <w:rPr>
          <w:rFonts w:ascii="Arial" w:hAnsi="Arial" w:cs="Arial"/>
          <w:lang w:val="en-US"/>
        </w:rPr>
        <w:t>on</w:t>
      </w:r>
      <w:r w:rsidR="00514B34" w:rsidRPr="00D92861">
        <w:rPr>
          <w:rFonts w:ascii="Arial" w:hAnsi="Arial" w:cs="Arial"/>
          <w:lang w:val="en-US"/>
        </w:rPr>
        <w:t xml:space="preserve"> </w:t>
      </w:r>
      <w:r w:rsidR="00B627FB" w:rsidRPr="00D92861">
        <w:rPr>
          <w:rFonts w:ascii="Arial" w:hAnsi="Arial" w:cs="Arial"/>
          <w:lang w:val="en-US"/>
        </w:rPr>
        <w:t>December 6, 2016, which upheld the judgement of the Federal Patent Court, dated July 8, 2014. T</w:t>
      </w:r>
      <w:r w:rsidRPr="00D92861">
        <w:rPr>
          <w:rFonts w:ascii="Arial" w:hAnsi="Arial" w:cs="Arial"/>
          <w:lang w:val="en-US"/>
        </w:rPr>
        <w:t>he validity of the same patent was analyzed</w:t>
      </w:r>
      <w:r w:rsidR="00B627FB" w:rsidRPr="00D92861">
        <w:rPr>
          <w:rFonts w:ascii="Arial" w:hAnsi="Arial" w:cs="Arial"/>
          <w:lang w:val="en-US"/>
        </w:rPr>
        <w:t xml:space="preserve"> before </w:t>
      </w:r>
      <w:r w:rsidR="00514B34">
        <w:rPr>
          <w:rFonts w:ascii="Arial" w:hAnsi="Arial" w:cs="Arial"/>
          <w:lang w:val="en-US"/>
        </w:rPr>
        <w:t xml:space="preserve">the </w:t>
      </w:r>
      <w:r w:rsidR="00B627FB" w:rsidRPr="00D92861">
        <w:rPr>
          <w:rFonts w:ascii="Arial" w:hAnsi="Arial" w:cs="Arial"/>
          <w:lang w:val="en-US"/>
        </w:rPr>
        <w:t>German Courts based on</w:t>
      </w:r>
      <w:r w:rsidRPr="00D92861">
        <w:rPr>
          <w:rFonts w:ascii="Arial" w:hAnsi="Arial" w:cs="Arial"/>
          <w:lang w:val="en-US"/>
        </w:rPr>
        <w:t xml:space="preserve"> the same reasons</w:t>
      </w:r>
      <w:r w:rsidR="00514B34">
        <w:rPr>
          <w:rFonts w:ascii="Arial" w:hAnsi="Arial" w:cs="Arial"/>
          <w:lang w:val="en-US"/>
        </w:rPr>
        <w:t>,</w:t>
      </w:r>
      <w:r w:rsidRPr="00D92861">
        <w:rPr>
          <w:rFonts w:ascii="Arial" w:hAnsi="Arial" w:cs="Arial"/>
          <w:lang w:val="en-US"/>
        </w:rPr>
        <w:t xml:space="preserve"> and the same prior art was invoked (</w:t>
      </w:r>
      <w:r w:rsidR="00943AB5" w:rsidRPr="00D92861">
        <w:rPr>
          <w:rFonts w:ascii="Arial" w:hAnsi="Arial" w:cs="Arial"/>
          <w:lang w:val="en-US"/>
        </w:rPr>
        <w:t>EP 0.375.329 A2 (EP 329), GB 8829571 (GB 571) and  the “</w:t>
      </w:r>
      <w:proofErr w:type="spellStart"/>
      <w:r w:rsidR="00943AB5" w:rsidRPr="00D92861">
        <w:rPr>
          <w:rFonts w:ascii="Arial" w:hAnsi="Arial" w:cs="Arial"/>
          <w:i/>
          <w:lang w:val="en-US"/>
        </w:rPr>
        <w:t>Druckexemplar</w:t>
      </w:r>
      <w:proofErr w:type="spellEnd"/>
      <w:r w:rsidR="00943AB5" w:rsidRPr="00D92861">
        <w:rPr>
          <w:rFonts w:ascii="Arial" w:hAnsi="Arial" w:cs="Arial"/>
          <w:i/>
          <w:lang w:val="en-US"/>
        </w:rPr>
        <w:t xml:space="preserve">” </w:t>
      </w:r>
      <w:r w:rsidR="00943AB5" w:rsidRPr="00D92861">
        <w:rPr>
          <w:rFonts w:ascii="Arial" w:hAnsi="Arial" w:cs="Arial"/>
          <w:lang w:val="en-US"/>
        </w:rPr>
        <w:t>of the patent application EP 329).</w:t>
      </w:r>
    </w:p>
    <w:p w:rsidR="00AC584A" w:rsidRPr="00D92861" w:rsidRDefault="00B44D08" w:rsidP="006679FE">
      <w:pPr>
        <w:jc w:val="both"/>
        <w:rPr>
          <w:rFonts w:ascii="Arial" w:hAnsi="Arial" w:cs="Arial"/>
          <w:lang w:val="en-US"/>
        </w:rPr>
      </w:pPr>
      <w:r w:rsidRPr="00D92861">
        <w:rPr>
          <w:rFonts w:ascii="Arial" w:hAnsi="Arial" w:cs="Arial"/>
          <w:lang w:val="en-US"/>
        </w:rPr>
        <w:t>The German Federal Supreme Court</w:t>
      </w:r>
      <w:r w:rsidR="006679FE" w:rsidRPr="00D92861">
        <w:rPr>
          <w:rFonts w:ascii="Arial" w:hAnsi="Arial" w:cs="Arial"/>
          <w:lang w:val="en-US"/>
        </w:rPr>
        <w:t xml:space="preserve"> accepted that the </w:t>
      </w:r>
      <w:proofErr w:type="spellStart"/>
      <w:r w:rsidR="006679FE" w:rsidRPr="00D92861">
        <w:rPr>
          <w:rFonts w:ascii="Arial" w:hAnsi="Arial" w:cs="Arial"/>
          <w:i/>
          <w:lang w:val="en-US"/>
        </w:rPr>
        <w:t>Dru</w:t>
      </w:r>
      <w:r w:rsidR="00B627FB" w:rsidRPr="00D92861">
        <w:rPr>
          <w:rFonts w:ascii="Arial" w:hAnsi="Arial" w:cs="Arial"/>
          <w:i/>
          <w:lang w:val="en-US"/>
        </w:rPr>
        <w:t>c</w:t>
      </w:r>
      <w:r w:rsidR="006679FE" w:rsidRPr="00D92861">
        <w:rPr>
          <w:rFonts w:ascii="Arial" w:hAnsi="Arial" w:cs="Arial"/>
          <w:i/>
          <w:lang w:val="en-US"/>
        </w:rPr>
        <w:t>kexemplar</w:t>
      </w:r>
      <w:proofErr w:type="spellEnd"/>
      <w:r w:rsidR="006679FE" w:rsidRPr="00D92861">
        <w:rPr>
          <w:rFonts w:ascii="Arial" w:hAnsi="Arial" w:cs="Arial"/>
          <w:lang w:val="en-US"/>
        </w:rPr>
        <w:t xml:space="preserve"> had been made available to the public </w:t>
      </w:r>
      <w:r w:rsidR="007B5141" w:rsidRPr="00D92861">
        <w:rPr>
          <w:rFonts w:ascii="Arial" w:hAnsi="Arial" w:cs="Arial"/>
          <w:lang w:val="en-US"/>
        </w:rPr>
        <w:t>before the priority date of the patent at stake,</w:t>
      </w:r>
      <w:r w:rsidR="00695C14" w:rsidRPr="00D92861">
        <w:rPr>
          <w:rFonts w:ascii="Arial" w:hAnsi="Arial" w:cs="Arial"/>
          <w:lang w:val="en-US"/>
        </w:rPr>
        <w:t xml:space="preserve"> </w:t>
      </w:r>
      <w:r w:rsidR="00514B34">
        <w:rPr>
          <w:rFonts w:ascii="Arial" w:hAnsi="Arial" w:cs="Arial"/>
          <w:lang w:val="en-US"/>
        </w:rPr>
        <w:t>since</w:t>
      </w:r>
      <w:r w:rsidR="00514B34" w:rsidRPr="00D92861">
        <w:rPr>
          <w:rFonts w:ascii="Arial" w:hAnsi="Arial" w:cs="Arial"/>
          <w:lang w:val="en-US"/>
        </w:rPr>
        <w:t xml:space="preserve"> </w:t>
      </w:r>
      <w:r w:rsidR="006679FE" w:rsidRPr="00D92861">
        <w:rPr>
          <w:rFonts w:ascii="Arial" w:hAnsi="Arial" w:cs="Arial"/>
          <w:lang w:val="en-US"/>
        </w:rPr>
        <w:t xml:space="preserve">the official </w:t>
      </w:r>
      <w:r w:rsidR="00514B34">
        <w:rPr>
          <w:rFonts w:ascii="Arial" w:hAnsi="Arial" w:cs="Arial"/>
          <w:lang w:val="en-US"/>
        </w:rPr>
        <w:t xml:space="preserve">EPO </w:t>
      </w:r>
      <w:r w:rsidR="006679FE" w:rsidRPr="00D92861">
        <w:rPr>
          <w:rFonts w:ascii="Arial" w:hAnsi="Arial" w:cs="Arial"/>
          <w:lang w:val="en-US"/>
        </w:rPr>
        <w:t xml:space="preserve">dossier </w:t>
      </w:r>
      <w:r w:rsidR="00514B34">
        <w:rPr>
          <w:rFonts w:ascii="Arial" w:hAnsi="Arial" w:cs="Arial"/>
          <w:lang w:val="en-US"/>
        </w:rPr>
        <w:t>was</w:t>
      </w:r>
      <w:r w:rsidR="00695C14" w:rsidRPr="00D92861">
        <w:rPr>
          <w:rFonts w:ascii="Arial" w:hAnsi="Arial" w:cs="Arial"/>
          <w:lang w:val="en-US"/>
        </w:rPr>
        <w:t xml:space="preserve"> available</w:t>
      </w:r>
      <w:r w:rsidR="006679FE" w:rsidRPr="00D92861">
        <w:rPr>
          <w:rFonts w:ascii="Arial" w:hAnsi="Arial" w:cs="Arial"/>
          <w:lang w:val="en-US"/>
        </w:rPr>
        <w:t xml:space="preserve"> </w:t>
      </w:r>
      <w:r w:rsidR="00F23172" w:rsidRPr="00D92861">
        <w:rPr>
          <w:rFonts w:ascii="Arial" w:hAnsi="Arial" w:cs="Arial"/>
          <w:lang w:val="en-US"/>
        </w:rPr>
        <w:t xml:space="preserve">for </w:t>
      </w:r>
      <w:r w:rsidR="00986A8E">
        <w:rPr>
          <w:rFonts w:ascii="Arial" w:hAnsi="Arial" w:cs="Arial"/>
          <w:lang w:val="en-US"/>
        </w:rPr>
        <w:t xml:space="preserve">public </w:t>
      </w:r>
      <w:r w:rsidR="00695C14" w:rsidRPr="00D92861">
        <w:rPr>
          <w:rFonts w:ascii="Arial" w:hAnsi="Arial" w:cs="Arial"/>
          <w:lang w:val="en-US"/>
        </w:rPr>
        <w:t>consultation.</w:t>
      </w:r>
    </w:p>
    <w:p w:rsidR="005E199D" w:rsidRPr="00D92861" w:rsidRDefault="005E199D" w:rsidP="006679FE">
      <w:pPr>
        <w:jc w:val="both"/>
        <w:rPr>
          <w:rFonts w:ascii="Arial" w:hAnsi="Arial" w:cs="Arial"/>
          <w:lang w:val="en-US"/>
        </w:rPr>
      </w:pPr>
    </w:p>
    <w:p w:rsidR="00AC584A" w:rsidRPr="00D92861" w:rsidRDefault="00AC584A" w:rsidP="009E764B">
      <w:pPr>
        <w:jc w:val="both"/>
        <w:rPr>
          <w:rFonts w:ascii="Arial" w:hAnsi="Arial" w:cs="Arial"/>
          <w:lang w:val="en-US"/>
        </w:rPr>
      </w:pPr>
    </w:p>
    <w:p w:rsidR="009E764B" w:rsidRPr="00D92861" w:rsidRDefault="008A1C8F">
      <w:pPr>
        <w:jc w:val="both"/>
        <w:rPr>
          <w:lang w:val="en-US"/>
        </w:rPr>
      </w:pPr>
      <w:r w:rsidRPr="00D92861">
        <w:rPr>
          <w:noProof/>
          <w:lang w:val="nl-NL" w:eastAsia="nl-NL"/>
        </w:rPr>
        <w:drawing>
          <wp:inline distT="0" distB="0" distL="0" distR="0" wp14:anchorId="27601BB6" wp14:editId="2D13DFDC">
            <wp:extent cx="1569720" cy="612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612775"/>
                    </a:xfrm>
                    <a:prstGeom prst="rect">
                      <a:avLst/>
                    </a:prstGeom>
                    <a:noFill/>
                    <a:ln>
                      <a:noFill/>
                    </a:ln>
                  </pic:spPr>
                </pic:pic>
              </a:graphicData>
            </a:graphic>
          </wp:inline>
        </w:drawing>
      </w:r>
    </w:p>
    <w:sectPr w:rsidR="009E764B" w:rsidRPr="00D92861">
      <w:headerReference w:type="default" r:id="rId9"/>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BEA" w:rsidRDefault="00720BEA" w:rsidP="00D645F9">
      <w:pPr>
        <w:spacing w:after="0" w:line="240" w:lineRule="auto"/>
      </w:pPr>
      <w:r>
        <w:separator/>
      </w:r>
    </w:p>
  </w:endnote>
  <w:endnote w:type="continuationSeparator" w:id="0">
    <w:p w:rsidR="00720BEA" w:rsidRDefault="00720BEA" w:rsidP="00D64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250429"/>
      <w:docPartObj>
        <w:docPartGallery w:val="Page Numbers (Bottom of Page)"/>
        <w:docPartUnique/>
      </w:docPartObj>
    </w:sdtPr>
    <w:sdtEndPr>
      <w:rPr>
        <w:noProof/>
      </w:rPr>
    </w:sdtEndPr>
    <w:sdtContent>
      <w:p w:rsidR="00B44D08" w:rsidRDefault="00B44D08">
        <w:pPr>
          <w:pStyle w:val="Voettekst"/>
          <w:jc w:val="right"/>
        </w:pPr>
        <w:r>
          <w:fldChar w:fldCharType="begin"/>
        </w:r>
        <w:r>
          <w:instrText xml:space="preserve"> PAGE   \* MERGEFORMAT </w:instrText>
        </w:r>
        <w:r>
          <w:fldChar w:fldCharType="separate"/>
        </w:r>
        <w:r w:rsidR="004D1581">
          <w:rPr>
            <w:noProof/>
          </w:rPr>
          <w:t>1</w:t>
        </w:r>
        <w:r>
          <w:rPr>
            <w:noProof/>
          </w:rPr>
          <w:fldChar w:fldCharType="end"/>
        </w:r>
      </w:p>
    </w:sdtContent>
  </w:sdt>
  <w:p w:rsidR="00B44D08" w:rsidRDefault="00B44D0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BEA" w:rsidRDefault="00720BEA" w:rsidP="00D645F9">
      <w:pPr>
        <w:spacing w:after="0" w:line="240" w:lineRule="auto"/>
      </w:pPr>
      <w:r>
        <w:separator/>
      </w:r>
    </w:p>
  </w:footnote>
  <w:footnote w:type="continuationSeparator" w:id="0">
    <w:p w:rsidR="00720BEA" w:rsidRDefault="00720BEA" w:rsidP="00D645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5F9" w:rsidRPr="00D645F9" w:rsidRDefault="00D645F9" w:rsidP="00D645F9">
    <w:pPr>
      <w:tabs>
        <w:tab w:val="center" w:pos="4252"/>
        <w:tab w:val="right" w:pos="8504"/>
      </w:tabs>
      <w:spacing w:after="0" w:line="240" w:lineRule="auto"/>
      <w:rPr>
        <w:rFonts w:eastAsia="Times New Roman" w:cs="Times New Roman"/>
        <w:lang w:val="en-US"/>
      </w:rPr>
    </w:pPr>
    <w:r>
      <w:rPr>
        <w:rFonts w:eastAsia="Times New Roman" w:cs="Times New Roman"/>
        <w:noProof/>
        <w:lang w:val="nl-NL" w:eastAsia="nl-NL"/>
      </w:rPr>
      <mc:AlternateContent>
        <mc:Choice Requires="wps">
          <w:drawing>
            <wp:anchor distT="0" distB="0" distL="114300" distR="114300" simplePos="0" relativeHeight="251659264" behindDoc="0" locked="0" layoutInCell="1" allowOverlap="1">
              <wp:simplePos x="0" y="0"/>
              <wp:positionH relativeFrom="column">
                <wp:posOffset>4443730</wp:posOffset>
              </wp:positionH>
              <wp:positionV relativeFrom="paragraph">
                <wp:posOffset>82550</wp:posOffset>
              </wp:positionV>
              <wp:extent cx="1885315" cy="7277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315" cy="727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45F9" w:rsidRPr="00D50C6B" w:rsidRDefault="00D645F9" w:rsidP="00D645F9">
                          <w:pPr>
                            <w:spacing w:after="0" w:line="312" w:lineRule="auto"/>
                            <w:jc w:val="right"/>
                            <w:rPr>
                              <w:rFonts w:ascii="Arial" w:hAnsi="Arial" w:cs="Arial"/>
                              <w:b/>
                              <w:smallCaps/>
                              <w:color w:val="64645D"/>
                            </w:rPr>
                          </w:pPr>
                          <w:r w:rsidRPr="00D50C6B">
                            <w:rPr>
                              <w:rFonts w:ascii="Arial" w:hAnsi="Arial" w:cs="Arial"/>
                              <w:b/>
                              <w:smallCaps/>
                              <w:color w:val="64645D"/>
                            </w:rPr>
                            <w:t>EPLAW Patent Blog</w:t>
                          </w:r>
                        </w:p>
                        <w:p w:rsidR="00D645F9" w:rsidRPr="00D50C6B" w:rsidRDefault="004D1581" w:rsidP="00D645F9">
                          <w:pPr>
                            <w:spacing w:after="0" w:line="312" w:lineRule="auto"/>
                            <w:jc w:val="right"/>
                            <w:rPr>
                              <w:rFonts w:ascii="Arial" w:hAnsi="Arial" w:cs="Arial"/>
                              <w:b/>
                              <w:smallCaps/>
                              <w:color w:val="64645D"/>
                            </w:rPr>
                          </w:pPr>
                          <w:r>
                            <w:rPr>
                              <w:rFonts w:ascii="Arial" w:hAnsi="Arial" w:cs="Arial"/>
                              <w:b/>
                              <w:smallCaps/>
                              <w:color w:val="64645D"/>
                            </w:rPr>
                            <w:t>October</w:t>
                          </w:r>
                          <w:r>
                            <w:rPr>
                              <w:rFonts w:ascii="Arial" w:hAnsi="Arial" w:cs="Arial"/>
                              <w:b/>
                              <w:smallCaps/>
                              <w:color w:val="64645D"/>
                            </w:rPr>
                            <w:t xml:space="preserve"> </w:t>
                          </w:r>
                          <w:r w:rsidR="00D645F9">
                            <w:rPr>
                              <w:rFonts w:ascii="Arial" w:hAnsi="Arial" w:cs="Arial"/>
                              <w:b/>
                              <w:smallCaps/>
                              <w:color w:val="64645D"/>
                            </w:rPr>
                            <w:t>2017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9.9pt;margin-top:6.5pt;width:148.45pt;height:57.3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" stroked="f">
              <v:textbox style="mso-fit-shape-to-text:t">
                <w:txbxContent>
                  <w:p w:rsidR="00D645F9" w:rsidRPr="00D50C6B" w:rsidRDefault="00D645F9" w:rsidP="00D645F9">
                    <w:pPr>
                      <w:spacing w:after="0" w:line="312" w:lineRule="auto"/>
                      <w:jc w:val="right"/>
                      <w:rPr>
                        <w:rFonts w:ascii="Arial" w:hAnsi="Arial" w:cs="Arial"/>
                        <w:b/>
                        <w:smallCaps/>
                        <w:color w:val="64645D"/>
                      </w:rPr>
                    </w:pPr>
                    <w:r w:rsidRPr="00D50C6B">
                      <w:rPr>
                        <w:rFonts w:ascii="Arial" w:hAnsi="Arial" w:cs="Arial"/>
                        <w:b/>
                        <w:smallCaps/>
                        <w:color w:val="64645D"/>
                      </w:rPr>
                      <w:t>EPLAW Patent Blog</w:t>
                    </w:r>
                  </w:p>
                  <w:p w:rsidR="00D645F9" w:rsidRPr="00D50C6B" w:rsidRDefault="004D1581" w:rsidP="00D645F9">
                    <w:pPr>
                      <w:spacing w:after="0" w:line="312" w:lineRule="auto"/>
                      <w:jc w:val="right"/>
                      <w:rPr>
                        <w:rFonts w:ascii="Arial" w:hAnsi="Arial" w:cs="Arial"/>
                        <w:b/>
                        <w:smallCaps/>
                        <w:color w:val="64645D"/>
                      </w:rPr>
                    </w:pPr>
                    <w:r>
                      <w:rPr>
                        <w:rFonts w:ascii="Arial" w:hAnsi="Arial" w:cs="Arial"/>
                        <w:b/>
                        <w:smallCaps/>
                        <w:color w:val="64645D"/>
                      </w:rPr>
                      <w:t>October</w:t>
                    </w:r>
                    <w:r>
                      <w:rPr>
                        <w:rFonts w:ascii="Arial" w:hAnsi="Arial" w:cs="Arial"/>
                        <w:b/>
                        <w:smallCaps/>
                        <w:color w:val="64645D"/>
                      </w:rPr>
                      <w:t xml:space="preserve"> </w:t>
                    </w:r>
                    <w:r w:rsidR="00D645F9">
                      <w:rPr>
                        <w:rFonts w:ascii="Arial" w:hAnsi="Arial" w:cs="Arial"/>
                        <w:b/>
                        <w:smallCaps/>
                        <w:color w:val="64645D"/>
                      </w:rPr>
                      <w:t>2017</w:t>
                    </w:r>
                  </w:p>
                </w:txbxContent>
              </v:textbox>
            </v:shape>
          </w:pict>
        </mc:Fallback>
      </mc:AlternateContent>
    </w:r>
    <w:r>
      <w:rPr>
        <w:rFonts w:eastAsia="Times New Roman" w:cs="Times New Roman"/>
        <w:noProof/>
        <w:lang w:val="nl-NL" w:eastAsia="nl-NL"/>
      </w:rPr>
      <w:drawing>
        <wp:inline distT="0" distB="0" distL="0" distR="0">
          <wp:extent cx="1647825" cy="647065"/>
          <wp:effectExtent l="0" t="0" r="952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647065"/>
                  </a:xfrm>
                  <a:prstGeom prst="rect">
                    <a:avLst/>
                  </a:prstGeom>
                  <a:noFill/>
                  <a:ln>
                    <a:noFill/>
                  </a:ln>
                </pic:spPr>
              </pic:pic>
            </a:graphicData>
          </a:graphic>
        </wp:inline>
      </w:drawing>
    </w:r>
    <w:r w:rsidRPr="00D645F9">
      <w:rPr>
        <w:rFonts w:eastAsia="Times New Roman" w:cs="Times New Roman"/>
        <w:lang w:val="en-US"/>
      </w:rPr>
      <w:tab/>
    </w:r>
    <w:r w:rsidRPr="00D645F9">
      <w:rPr>
        <w:rFonts w:eastAsia="Times New Roman" w:cs="Times New Roman"/>
        <w:lang w:val="en-US"/>
      </w:rPr>
      <w:tab/>
    </w:r>
  </w:p>
  <w:p w:rsidR="00D645F9" w:rsidRDefault="00D645F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D5DB1"/>
    <w:multiLevelType w:val="hybridMultilevel"/>
    <w:tmpl w:val="AA46E7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F750F7"/>
    <w:multiLevelType w:val="hybridMultilevel"/>
    <w:tmpl w:val="2A0C9C1C"/>
    <w:lvl w:ilvl="0" w:tplc="1D12B34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64B"/>
    <w:rsid w:val="000052E3"/>
    <w:rsid w:val="000166C3"/>
    <w:rsid w:val="00032096"/>
    <w:rsid w:val="00051413"/>
    <w:rsid w:val="00053461"/>
    <w:rsid w:val="00084CE3"/>
    <w:rsid w:val="0008687A"/>
    <w:rsid w:val="000A4A16"/>
    <w:rsid w:val="000D4289"/>
    <w:rsid w:val="000F0DA9"/>
    <w:rsid w:val="000F1295"/>
    <w:rsid w:val="00106E64"/>
    <w:rsid w:val="00114A3F"/>
    <w:rsid w:val="001260C6"/>
    <w:rsid w:val="0015499B"/>
    <w:rsid w:val="001631D6"/>
    <w:rsid w:val="001A1B99"/>
    <w:rsid w:val="001B6417"/>
    <w:rsid w:val="001F1B49"/>
    <w:rsid w:val="00264DAB"/>
    <w:rsid w:val="00272D35"/>
    <w:rsid w:val="00284BC6"/>
    <w:rsid w:val="00287492"/>
    <w:rsid w:val="0028799A"/>
    <w:rsid w:val="002B5E4D"/>
    <w:rsid w:val="002C60B4"/>
    <w:rsid w:val="002E73EB"/>
    <w:rsid w:val="00313AA1"/>
    <w:rsid w:val="0031571A"/>
    <w:rsid w:val="003510F5"/>
    <w:rsid w:val="00353ADC"/>
    <w:rsid w:val="003654E7"/>
    <w:rsid w:val="00381704"/>
    <w:rsid w:val="00387E62"/>
    <w:rsid w:val="003A03E9"/>
    <w:rsid w:val="003C24AE"/>
    <w:rsid w:val="004245B8"/>
    <w:rsid w:val="00450F03"/>
    <w:rsid w:val="0045305C"/>
    <w:rsid w:val="004543FF"/>
    <w:rsid w:val="00461C0B"/>
    <w:rsid w:val="00465358"/>
    <w:rsid w:val="00484789"/>
    <w:rsid w:val="00493D7D"/>
    <w:rsid w:val="00494E73"/>
    <w:rsid w:val="004A47FA"/>
    <w:rsid w:val="004D1581"/>
    <w:rsid w:val="004E4133"/>
    <w:rsid w:val="005062BE"/>
    <w:rsid w:val="005139EA"/>
    <w:rsid w:val="00514B34"/>
    <w:rsid w:val="00515ACD"/>
    <w:rsid w:val="00530F36"/>
    <w:rsid w:val="00531812"/>
    <w:rsid w:val="00553C98"/>
    <w:rsid w:val="00570125"/>
    <w:rsid w:val="00580FA3"/>
    <w:rsid w:val="005A728D"/>
    <w:rsid w:val="005C03B9"/>
    <w:rsid w:val="005E199D"/>
    <w:rsid w:val="00623AA7"/>
    <w:rsid w:val="006679FE"/>
    <w:rsid w:val="006704C9"/>
    <w:rsid w:val="0069299D"/>
    <w:rsid w:val="00695C14"/>
    <w:rsid w:val="006B0B27"/>
    <w:rsid w:val="006C1947"/>
    <w:rsid w:val="006C48F8"/>
    <w:rsid w:val="006C69A4"/>
    <w:rsid w:val="006D33AF"/>
    <w:rsid w:val="006D6B5C"/>
    <w:rsid w:val="006F32F1"/>
    <w:rsid w:val="006F6F46"/>
    <w:rsid w:val="00720BEA"/>
    <w:rsid w:val="00723828"/>
    <w:rsid w:val="00726629"/>
    <w:rsid w:val="007440CF"/>
    <w:rsid w:val="00767445"/>
    <w:rsid w:val="00767E08"/>
    <w:rsid w:val="00771E43"/>
    <w:rsid w:val="00772091"/>
    <w:rsid w:val="00773991"/>
    <w:rsid w:val="007B5141"/>
    <w:rsid w:val="007B7430"/>
    <w:rsid w:val="007C3BE9"/>
    <w:rsid w:val="007E493B"/>
    <w:rsid w:val="007F41D0"/>
    <w:rsid w:val="008616B7"/>
    <w:rsid w:val="00880683"/>
    <w:rsid w:val="0088292F"/>
    <w:rsid w:val="008923EB"/>
    <w:rsid w:val="008A1C8F"/>
    <w:rsid w:val="008C5A96"/>
    <w:rsid w:val="008F7648"/>
    <w:rsid w:val="00943AB5"/>
    <w:rsid w:val="00955C0D"/>
    <w:rsid w:val="00956292"/>
    <w:rsid w:val="00967DB5"/>
    <w:rsid w:val="00983A46"/>
    <w:rsid w:val="00986A8E"/>
    <w:rsid w:val="009B0E57"/>
    <w:rsid w:val="009E764B"/>
    <w:rsid w:val="00A43615"/>
    <w:rsid w:val="00A47540"/>
    <w:rsid w:val="00A60B31"/>
    <w:rsid w:val="00A76BC6"/>
    <w:rsid w:val="00A84776"/>
    <w:rsid w:val="00A92EF1"/>
    <w:rsid w:val="00AA14BD"/>
    <w:rsid w:val="00AA4A3B"/>
    <w:rsid w:val="00AC584A"/>
    <w:rsid w:val="00AD73C8"/>
    <w:rsid w:val="00AF64E2"/>
    <w:rsid w:val="00B13186"/>
    <w:rsid w:val="00B2340C"/>
    <w:rsid w:val="00B44D08"/>
    <w:rsid w:val="00B474D8"/>
    <w:rsid w:val="00B627FB"/>
    <w:rsid w:val="00B67A19"/>
    <w:rsid w:val="00B82852"/>
    <w:rsid w:val="00BA6C91"/>
    <w:rsid w:val="00BD1CD2"/>
    <w:rsid w:val="00BD3501"/>
    <w:rsid w:val="00BD655C"/>
    <w:rsid w:val="00C060AB"/>
    <w:rsid w:val="00C266E5"/>
    <w:rsid w:val="00C65798"/>
    <w:rsid w:val="00C66F0B"/>
    <w:rsid w:val="00CB1974"/>
    <w:rsid w:val="00CB4431"/>
    <w:rsid w:val="00CB5D2A"/>
    <w:rsid w:val="00CD31BC"/>
    <w:rsid w:val="00CE78E6"/>
    <w:rsid w:val="00D15114"/>
    <w:rsid w:val="00D645F9"/>
    <w:rsid w:val="00D75439"/>
    <w:rsid w:val="00D92861"/>
    <w:rsid w:val="00DF051D"/>
    <w:rsid w:val="00E87B65"/>
    <w:rsid w:val="00EC20EA"/>
    <w:rsid w:val="00EE4D9A"/>
    <w:rsid w:val="00F130B2"/>
    <w:rsid w:val="00F132C7"/>
    <w:rsid w:val="00F23172"/>
    <w:rsid w:val="00F32D8B"/>
    <w:rsid w:val="00F54BA8"/>
    <w:rsid w:val="00FF50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645F9"/>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D645F9"/>
  </w:style>
  <w:style w:type="paragraph" w:styleId="Voettekst">
    <w:name w:val="footer"/>
    <w:basedOn w:val="Standaard"/>
    <w:link w:val="VoettekstChar"/>
    <w:uiPriority w:val="99"/>
    <w:unhideWhenUsed/>
    <w:rsid w:val="00D645F9"/>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D645F9"/>
  </w:style>
  <w:style w:type="paragraph" w:styleId="Ballontekst">
    <w:name w:val="Balloon Text"/>
    <w:basedOn w:val="Standaard"/>
    <w:link w:val="BallontekstChar"/>
    <w:uiPriority w:val="99"/>
    <w:semiHidden/>
    <w:unhideWhenUsed/>
    <w:rsid w:val="00D645F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645F9"/>
    <w:rPr>
      <w:rFonts w:ascii="Tahoma" w:hAnsi="Tahoma" w:cs="Tahoma"/>
      <w:sz w:val="16"/>
      <w:szCs w:val="16"/>
    </w:rPr>
  </w:style>
  <w:style w:type="paragraph" w:styleId="Lijstalinea">
    <w:name w:val="List Paragraph"/>
    <w:basedOn w:val="Standaard"/>
    <w:uiPriority w:val="34"/>
    <w:qFormat/>
    <w:rsid w:val="00B67A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645F9"/>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D645F9"/>
  </w:style>
  <w:style w:type="paragraph" w:styleId="Voettekst">
    <w:name w:val="footer"/>
    <w:basedOn w:val="Standaard"/>
    <w:link w:val="VoettekstChar"/>
    <w:uiPriority w:val="99"/>
    <w:unhideWhenUsed/>
    <w:rsid w:val="00D645F9"/>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D645F9"/>
  </w:style>
  <w:style w:type="paragraph" w:styleId="Ballontekst">
    <w:name w:val="Balloon Text"/>
    <w:basedOn w:val="Standaard"/>
    <w:link w:val="BallontekstChar"/>
    <w:uiPriority w:val="99"/>
    <w:semiHidden/>
    <w:unhideWhenUsed/>
    <w:rsid w:val="00D645F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645F9"/>
    <w:rPr>
      <w:rFonts w:ascii="Tahoma" w:hAnsi="Tahoma" w:cs="Tahoma"/>
      <w:sz w:val="16"/>
      <w:szCs w:val="16"/>
    </w:rPr>
  </w:style>
  <w:style w:type="paragraph" w:styleId="Lijstalinea">
    <w:name w:val="List Paragraph"/>
    <w:basedOn w:val="Standaard"/>
    <w:uiPriority w:val="34"/>
    <w:qFormat/>
    <w:rsid w:val="00B67A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46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1602</Words>
  <Characters>8816</Characters>
  <Application>Microsoft Office Word</Application>
  <DocSecurity>0</DocSecurity>
  <Lines>73</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10398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 user</dc:creator>
  <cp:lastModifiedBy>AnnetteHirschfeld</cp:lastModifiedBy>
  <cp:revision>3</cp:revision>
  <cp:lastPrinted>2017-10-05T15:13:00Z</cp:lastPrinted>
  <dcterms:created xsi:type="dcterms:W3CDTF">2017-10-17T10:26:00Z</dcterms:created>
  <dcterms:modified xsi:type="dcterms:W3CDTF">2017-10-17T10:27:00Z</dcterms:modified>
</cp:coreProperties>
</file>