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0" w:rsidRPr="009919BB" w:rsidRDefault="009919BB" w:rsidP="00864E96">
      <w:pPr>
        <w:ind w:left="1155"/>
        <w:jc w:val="center"/>
        <w:rPr>
          <w:rFonts w:ascii="Georgia" w:hAnsi="Georgia"/>
          <w:i/>
          <w:sz w:val="24"/>
        </w:rPr>
      </w:pPr>
      <w:bookmarkStart w:id="0" w:name="_GoBack"/>
      <w:bookmarkEnd w:id="0"/>
      <w:r w:rsidRPr="009919BB">
        <w:rPr>
          <w:rFonts w:ascii="Georgia" w:hAnsi="Georgia"/>
          <w:i/>
          <w:sz w:val="24"/>
        </w:rPr>
        <w:t>4.2011</w:t>
      </w:r>
    </w:p>
    <w:p w:rsidR="00801430" w:rsidRPr="00155900" w:rsidRDefault="00801430" w:rsidP="00F03F66">
      <w:pPr>
        <w:spacing w:line="360" w:lineRule="auto"/>
        <w:ind w:left="1155"/>
        <w:jc w:val="center"/>
        <w:rPr>
          <w:rFonts w:ascii="Georgia" w:hAnsi="Georgia"/>
          <w:b/>
          <w:sz w:val="24"/>
        </w:rPr>
      </w:pPr>
    </w:p>
    <w:p w:rsidR="00801430" w:rsidRDefault="00801430" w:rsidP="00F03F66">
      <w:pPr>
        <w:spacing w:line="360" w:lineRule="auto"/>
        <w:ind w:left="1155"/>
        <w:jc w:val="center"/>
        <w:rPr>
          <w:rFonts w:ascii="Georgia" w:hAnsi="Georgia"/>
          <w:b/>
          <w:sz w:val="28"/>
          <w:szCs w:val="28"/>
        </w:rPr>
      </w:pPr>
      <w:r w:rsidRPr="00F03F66">
        <w:rPr>
          <w:rFonts w:ascii="Georgia" w:hAnsi="Georgia"/>
          <w:b/>
          <w:sz w:val="28"/>
          <w:szCs w:val="28"/>
        </w:rPr>
        <w:t xml:space="preserve">Little Hope for an </w:t>
      </w:r>
      <w:smartTag w:uri="urn:schemas-microsoft-com:office:smarttags" w:element="Street">
        <w:smartTag w:uri="urn:schemas-microsoft-com:office:smarttags" w:element="address">
          <w:r w:rsidRPr="00F03F66">
            <w:rPr>
              <w:rFonts w:ascii="Georgia" w:hAnsi="Georgia"/>
              <w:b/>
              <w:sz w:val="28"/>
              <w:szCs w:val="28"/>
            </w:rPr>
            <w:t>EU Patent Court</w:t>
          </w:r>
        </w:smartTag>
      </w:smartTag>
    </w:p>
    <w:p w:rsidR="00801430" w:rsidRPr="00F03F66" w:rsidRDefault="00801430" w:rsidP="00F03F66">
      <w:pPr>
        <w:spacing w:line="360" w:lineRule="auto"/>
        <w:ind w:left="1155"/>
        <w:jc w:val="center"/>
        <w:rPr>
          <w:rFonts w:ascii="Georgia" w:hAnsi="Georgia"/>
          <w:b/>
          <w:sz w:val="28"/>
          <w:szCs w:val="28"/>
        </w:rPr>
      </w:pPr>
      <w:r w:rsidRPr="00F03F66">
        <w:rPr>
          <w:rFonts w:ascii="Georgia" w:hAnsi="Georgia"/>
          <w:b/>
          <w:sz w:val="28"/>
          <w:szCs w:val="28"/>
        </w:rPr>
        <w:t>after the CJ Opinion</w:t>
      </w:r>
    </w:p>
    <w:p w:rsidR="00801430" w:rsidRDefault="00801430" w:rsidP="00864E96">
      <w:pPr>
        <w:spacing w:line="360" w:lineRule="auto"/>
        <w:ind w:left="1155"/>
        <w:rPr>
          <w:rFonts w:ascii="Georgia" w:hAnsi="Georgia"/>
          <w:b/>
          <w:sz w:val="24"/>
        </w:rPr>
      </w:pPr>
    </w:p>
    <w:p w:rsidR="00801430" w:rsidRPr="00F03F66" w:rsidRDefault="00801430" w:rsidP="00864E96">
      <w:pPr>
        <w:spacing w:line="360" w:lineRule="auto"/>
        <w:ind w:left="1155"/>
        <w:rPr>
          <w:rFonts w:ascii="Georgia" w:hAnsi="Georgia"/>
          <w:i/>
          <w:sz w:val="24"/>
        </w:rPr>
      </w:pPr>
      <w:r>
        <w:rPr>
          <w:rFonts w:ascii="Georgia" w:hAnsi="Georgia"/>
          <w:b/>
          <w:sz w:val="24"/>
        </w:rPr>
        <w:tab/>
      </w:r>
      <w:r>
        <w:rPr>
          <w:rFonts w:ascii="Georgia" w:hAnsi="Georgia"/>
          <w:b/>
          <w:sz w:val="24"/>
        </w:rPr>
        <w:tab/>
      </w:r>
      <w:r>
        <w:rPr>
          <w:rFonts w:ascii="Georgia" w:hAnsi="Georgia"/>
          <w:b/>
          <w:sz w:val="24"/>
        </w:rPr>
        <w:tab/>
      </w:r>
      <w:r>
        <w:rPr>
          <w:rFonts w:ascii="Georgia" w:hAnsi="Georgia"/>
          <w:b/>
          <w:sz w:val="24"/>
        </w:rPr>
        <w:tab/>
      </w:r>
      <w:r w:rsidRPr="00F03F66">
        <w:rPr>
          <w:rFonts w:ascii="Georgia" w:hAnsi="Georgia"/>
          <w:i/>
          <w:sz w:val="24"/>
        </w:rPr>
        <w:t>By Jochen Pagenberg</w:t>
      </w:r>
      <w:r>
        <w:rPr>
          <w:rFonts w:ascii="Georgia" w:hAnsi="Georgia"/>
          <w:i/>
          <w:sz w:val="24"/>
        </w:rPr>
        <w:t>*</w:t>
      </w:r>
    </w:p>
    <w:p w:rsidR="00801430" w:rsidRDefault="00801430" w:rsidP="00864E96">
      <w:pPr>
        <w:spacing w:line="360" w:lineRule="auto"/>
        <w:ind w:left="1155"/>
        <w:rPr>
          <w:rFonts w:ascii="Georgia" w:hAnsi="Georgia"/>
          <w:b/>
          <w:sz w:val="24"/>
        </w:rPr>
      </w:pPr>
    </w:p>
    <w:p w:rsidR="00801430" w:rsidRPr="002B04F1" w:rsidRDefault="00801430" w:rsidP="00864E96">
      <w:pPr>
        <w:spacing w:line="360" w:lineRule="auto"/>
        <w:ind w:left="1155"/>
        <w:rPr>
          <w:rFonts w:ascii="Georgia" w:hAnsi="Georgia"/>
          <w:b/>
          <w:sz w:val="24"/>
        </w:rPr>
      </w:pPr>
      <w:r>
        <w:rPr>
          <w:rFonts w:ascii="Georgia" w:hAnsi="Georgia"/>
          <w:b/>
          <w:sz w:val="24"/>
        </w:rPr>
        <w:t>I.   Summary of the Court of Justice Opinion</w:t>
      </w:r>
    </w:p>
    <w:p w:rsidR="00801430" w:rsidRPr="00155900" w:rsidRDefault="00801430" w:rsidP="00864E96">
      <w:pPr>
        <w:spacing w:line="360" w:lineRule="auto"/>
        <w:ind w:left="1155"/>
        <w:rPr>
          <w:rFonts w:ascii="Georgia" w:hAnsi="Georgia"/>
          <w:sz w:val="24"/>
        </w:rPr>
      </w:pPr>
      <w:r w:rsidRPr="00155900">
        <w:rPr>
          <w:rFonts w:ascii="Georgia" w:hAnsi="Georgia"/>
          <w:sz w:val="24"/>
        </w:rPr>
        <w:tab/>
      </w:r>
    </w:p>
    <w:p w:rsidR="00801430" w:rsidRPr="00155900" w:rsidRDefault="00801430" w:rsidP="00864E96">
      <w:pPr>
        <w:spacing w:line="360" w:lineRule="auto"/>
        <w:ind w:left="1155"/>
        <w:rPr>
          <w:rFonts w:ascii="Georgia" w:hAnsi="Georgia"/>
          <w:sz w:val="24"/>
        </w:rPr>
      </w:pPr>
      <w:r w:rsidRPr="00155900">
        <w:rPr>
          <w:rFonts w:ascii="Georgia" w:hAnsi="Georgia"/>
          <w:sz w:val="24"/>
        </w:rPr>
        <w:t xml:space="preserve">After the Opinion of the Advocates General </w:t>
      </w:r>
      <w:r>
        <w:rPr>
          <w:rFonts w:ascii="Georgia" w:hAnsi="Georgia"/>
          <w:sz w:val="24"/>
        </w:rPr>
        <w:t>of July 2, 2010 in the case 1/09</w:t>
      </w:r>
      <w:r w:rsidRPr="00155900">
        <w:rPr>
          <w:rFonts w:ascii="Georgia" w:hAnsi="Georgia"/>
          <w:sz w:val="24"/>
        </w:rPr>
        <w:t xml:space="preserve"> which had come to the conclusion that the Proposal for an Agreement on a combined court system for EP</w:t>
      </w:r>
      <w:r>
        <w:rPr>
          <w:rFonts w:ascii="Georgia" w:hAnsi="Georgia"/>
          <w:sz w:val="24"/>
        </w:rPr>
        <w:t>C</w:t>
      </w:r>
      <w:r w:rsidRPr="00155900">
        <w:rPr>
          <w:rFonts w:ascii="Georgia" w:hAnsi="Georgia"/>
          <w:sz w:val="24"/>
        </w:rPr>
        <w:t xml:space="preserve"> and EU patent</w:t>
      </w:r>
      <w:r>
        <w:rPr>
          <w:rFonts w:ascii="Georgia" w:hAnsi="Georgia"/>
          <w:sz w:val="24"/>
        </w:rPr>
        <w:t>s</w:t>
      </w:r>
      <w:r w:rsidRPr="00155900">
        <w:rPr>
          <w:rFonts w:ascii="Georgia" w:hAnsi="Georgia"/>
          <w:sz w:val="24"/>
        </w:rPr>
        <w:t xml:space="preserve"> is incompatible with the EU Treaties</w:t>
      </w:r>
      <w:r w:rsidRPr="00155900">
        <w:rPr>
          <w:rStyle w:val="Voetnootmarkering"/>
          <w:rFonts w:ascii="Georgia" w:hAnsi="Georgia"/>
          <w:sz w:val="24"/>
        </w:rPr>
        <w:footnoteReference w:id="1"/>
      </w:r>
      <w:r w:rsidRPr="00155900">
        <w:rPr>
          <w:rFonts w:ascii="Georgia" w:hAnsi="Georgia"/>
          <w:sz w:val="24"/>
        </w:rPr>
        <w:t>, now the European Court of Justice</w:t>
      </w:r>
      <w:r>
        <w:rPr>
          <w:rFonts w:ascii="Georgia" w:hAnsi="Georgia"/>
          <w:sz w:val="24"/>
        </w:rPr>
        <w:t xml:space="preserve"> (CJ)</w:t>
      </w:r>
      <w:r w:rsidRPr="00155900">
        <w:rPr>
          <w:rFonts w:ascii="Georgia" w:hAnsi="Georgia"/>
          <w:sz w:val="24"/>
        </w:rPr>
        <w:t xml:space="preserve"> has spoken</w:t>
      </w:r>
      <w:r>
        <w:rPr>
          <w:rFonts w:ascii="Georgia" w:hAnsi="Georgia"/>
          <w:sz w:val="24"/>
        </w:rPr>
        <w:t xml:space="preserve">. </w:t>
      </w:r>
      <w:r w:rsidRPr="00155900">
        <w:rPr>
          <w:rFonts w:ascii="Georgia" w:hAnsi="Georgia"/>
          <w:sz w:val="24"/>
        </w:rPr>
        <w:t>The Opinion comes to the conclusion that</w:t>
      </w:r>
    </w:p>
    <w:p w:rsidR="00801430" w:rsidRPr="00155900" w:rsidRDefault="00801430" w:rsidP="00864E96">
      <w:pPr>
        <w:spacing w:line="360" w:lineRule="auto"/>
        <w:ind w:left="1155"/>
        <w:rPr>
          <w:rFonts w:ascii="Georgia" w:hAnsi="Georgia"/>
          <w:sz w:val="24"/>
        </w:rPr>
      </w:pPr>
    </w:p>
    <w:p w:rsidR="00801430" w:rsidRPr="00155900" w:rsidRDefault="00801430" w:rsidP="002419F4">
      <w:pPr>
        <w:spacing w:after="240" w:line="240" w:lineRule="auto"/>
        <w:ind w:left="2100"/>
        <w:rPr>
          <w:rFonts w:ascii="Georgia" w:hAnsi="Georgia"/>
          <w:b/>
          <w:bCs/>
          <w:color w:val="000000"/>
          <w:sz w:val="24"/>
        </w:rPr>
      </w:pPr>
      <w:r w:rsidRPr="00155900">
        <w:rPr>
          <w:rFonts w:ascii="Georgia" w:hAnsi="Georgia"/>
          <w:b/>
          <w:bCs/>
          <w:color w:val="000000"/>
          <w:sz w:val="24"/>
        </w:rPr>
        <w:t>The envisaged agreement creating a unified patent lit</w:t>
      </w:r>
      <w:r w:rsidRPr="00155900">
        <w:rPr>
          <w:rFonts w:ascii="Georgia" w:hAnsi="Georgia"/>
          <w:b/>
          <w:bCs/>
          <w:color w:val="000000"/>
          <w:sz w:val="24"/>
        </w:rPr>
        <w:t>i</w:t>
      </w:r>
      <w:r w:rsidRPr="00155900">
        <w:rPr>
          <w:rFonts w:ascii="Georgia" w:hAnsi="Georgia"/>
          <w:b/>
          <w:bCs/>
          <w:color w:val="000000"/>
          <w:sz w:val="24"/>
        </w:rPr>
        <w:t>gation system (currently called ‘European and Comm</w:t>
      </w:r>
      <w:r w:rsidRPr="00155900">
        <w:rPr>
          <w:rFonts w:ascii="Georgia" w:hAnsi="Georgia"/>
          <w:b/>
          <w:bCs/>
          <w:color w:val="000000"/>
          <w:sz w:val="24"/>
        </w:rPr>
        <w:t>u</w:t>
      </w:r>
      <w:r w:rsidRPr="00155900">
        <w:rPr>
          <w:rFonts w:ascii="Georgia" w:hAnsi="Georgia"/>
          <w:b/>
          <w:bCs/>
          <w:color w:val="000000"/>
          <w:sz w:val="24"/>
        </w:rPr>
        <w:t xml:space="preserve">nity </w:t>
      </w:r>
      <w:smartTag w:uri="urn:schemas-microsoft-com:office:smarttags" w:element="Street">
        <w:smartTag w:uri="urn:schemas-microsoft-com:office:smarttags" w:element="address">
          <w:r w:rsidRPr="00155900">
            <w:rPr>
              <w:rFonts w:ascii="Georgia" w:hAnsi="Georgia"/>
              <w:b/>
              <w:bCs/>
              <w:color w:val="000000"/>
              <w:sz w:val="24"/>
            </w:rPr>
            <w:t>Patents Court</w:t>
          </w:r>
        </w:smartTag>
      </w:smartTag>
      <w:r w:rsidRPr="00155900">
        <w:rPr>
          <w:rFonts w:ascii="Georgia" w:hAnsi="Georgia"/>
          <w:b/>
          <w:bCs/>
          <w:color w:val="000000"/>
          <w:sz w:val="24"/>
        </w:rPr>
        <w:t>’) is not compatible with the prov</w:t>
      </w:r>
      <w:r w:rsidRPr="00155900">
        <w:rPr>
          <w:rFonts w:ascii="Georgia" w:hAnsi="Georgia"/>
          <w:b/>
          <w:bCs/>
          <w:color w:val="000000"/>
          <w:sz w:val="24"/>
        </w:rPr>
        <w:t>i</w:t>
      </w:r>
      <w:r w:rsidRPr="00155900">
        <w:rPr>
          <w:rFonts w:ascii="Georgia" w:hAnsi="Georgia"/>
          <w:b/>
          <w:bCs/>
          <w:color w:val="000000"/>
          <w:sz w:val="24"/>
        </w:rPr>
        <w:t>sions of the EU Treaty and the FEU Treaty.</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Pr>
          <w:rFonts w:ascii="Georgia" w:hAnsi="Georgia"/>
          <w:sz w:val="24"/>
        </w:rPr>
        <w:t xml:space="preserve">In its </w:t>
      </w:r>
      <w:r w:rsidRPr="00155900">
        <w:rPr>
          <w:rFonts w:ascii="Georgia" w:hAnsi="Georgia"/>
          <w:sz w:val="24"/>
        </w:rPr>
        <w:t xml:space="preserve">reasoning </w:t>
      </w:r>
      <w:r>
        <w:rPr>
          <w:rFonts w:ascii="Georgia" w:hAnsi="Georgia"/>
          <w:sz w:val="24"/>
        </w:rPr>
        <w:t>the Court challenges</w:t>
      </w:r>
      <w:r w:rsidRPr="00155900">
        <w:rPr>
          <w:rFonts w:ascii="Georgia" w:hAnsi="Georgia"/>
          <w:sz w:val="24"/>
        </w:rPr>
        <w:t xml:space="preserve"> some of the corner stones on which the Draft Agreement of 23 March 2009 was built. </w:t>
      </w:r>
      <w:r>
        <w:rPr>
          <w:rFonts w:ascii="Georgia" w:hAnsi="Georgia"/>
          <w:sz w:val="24"/>
        </w:rPr>
        <w:t>T</w:t>
      </w:r>
      <w:r w:rsidRPr="00155900">
        <w:rPr>
          <w:rFonts w:ascii="Georgia" w:hAnsi="Georgia"/>
          <w:sz w:val="24"/>
        </w:rPr>
        <w:t>he Opinion seems to request a court which</w:t>
      </w:r>
      <w:r>
        <w:rPr>
          <w:rFonts w:ascii="Georgia" w:hAnsi="Georgia"/>
          <w:sz w:val="24"/>
        </w:rPr>
        <w:t xml:space="preserve"> would have</w:t>
      </w:r>
      <w:r w:rsidRPr="00155900">
        <w:rPr>
          <w:rFonts w:ascii="Georgia" w:hAnsi="Georgia"/>
          <w:sz w:val="24"/>
        </w:rPr>
        <w:t xml:space="preserve"> little in </w:t>
      </w:r>
      <w:r>
        <w:rPr>
          <w:rFonts w:ascii="Georgia" w:hAnsi="Georgia"/>
          <w:sz w:val="24"/>
        </w:rPr>
        <w:t xml:space="preserve">common with the court </w:t>
      </w:r>
      <w:r w:rsidRPr="00155900">
        <w:rPr>
          <w:rFonts w:ascii="Georgia" w:hAnsi="Georgia"/>
          <w:sz w:val="24"/>
        </w:rPr>
        <w:t>envi</w:t>
      </w:r>
      <w:r w:rsidRPr="00155900">
        <w:rPr>
          <w:rFonts w:ascii="Georgia" w:hAnsi="Georgia"/>
          <w:sz w:val="24"/>
        </w:rPr>
        <w:t>s</w:t>
      </w:r>
      <w:r w:rsidRPr="00155900">
        <w:rPr>
          <w:rFonts w:ascii="Georgia" w:hAnsi="Georgia"/>
          <w:sz w:val="24"/>
        </w:rPr>
        <w:t>aged</w:t>
      </w:r>
      <w:r>
        <w:rPr>
          <w:rFonts w:ascii="Georgia" w:hAnsi="Georgia"/>
          <w:sz w:val="24"/>
        </w:rPr>
        <w:t xml:space="preserve"> </w:t>
      </w:r>
      <w:r w:rsidRPr="00155900">
        <w:rPr>
          <w:rFonts w:ascii="Georgia" w:hAnsi="Georgia"/>
          <w:sz w:val="24"/>
        </w:rPr>
        <w:t>in the Draft Agreement</w:t>
      </w:r>
      <w:r>
        <w:rPr>
          <w:rFonts w:ascii="Georgia" w:hAnsi="Georgia"/>
          <w:sz w:val="24"/>
        </w:rPr>
        <w:t>. It is therefore doubtful whether such drastic modifications as they would be required</w:t>
      </w:r>
      <w:r w:rsidRPr="00155900">
        <w:rPr>
          <w:rFonts w:ascii="Georgia" w:hAnsi="Georgia"/>
          <w:sz w:val="24"/>
        </w:rPr>
        <w:t xml:space="preserve"> would still be attractive for the users</w:t>
      </w:r>
      <w:r>
        <w:rPr>
          <w:rFonts w:ascii="Georgia" w:hAnsi="Georgia"/>
          <w:sz w:val="24"/>
        </w:rPr>
        <w:t>.</w:t>
      </w:r>
    </w:p>
    <w:p w:rsidR="00801430" w:rsidRPr="00155900" w:rsidRDefault="00801430" w:rsidP="00864E96">
      <w:pPr>
        <w:spacing w:line="360" w:lineRule="auto"/>
        <w:ind w:left="1155"/>
        <w:rPr>
          <w:rFonts w:ascii="Georgia" w:hAnsi="Georgia"/>
          <w:sz w:val="24"/>
        </w:rPr>
      </w:pPr>
      <w:r w:rsidRPr="00155900">
        <w:rPr>
          <w:rFonts w:ascii="Georgia" w:hAnsi="Georgia"/>
          <w:sz w:val="24"/>
        </w:rPr>
        <w:tab/>
      </w: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(1) A common international court system which would include courts in countries </w:t>
      </w:r>
      <w:r w:rsidRPr="00155900">
        <w:rPr>
          <w:rFonts w:ascii="Georgia" w:hAnsi="Georgia"/>
          <w:i/>
          <w:sz w:val="24"/>
        </w:rPr>
        <w:t>outside the EU</w:t>
      </w:r>
      <w:r w:rsidRPr="00155900">
        <w:rPr>
          <w:rFonts w:ascii="Georgia" w:hAnsi="Georgia"/>
          <w:sz w:val="24"/>
        </w:rPr>
        <w:t>, so that also EP</w:t>
      </w:r>
      <w:r>
        <w:rPr>
          <w:rFonts w:ascii="Georgia" w:hAnsi="Georgia"/>
          <w:sz w:val="24"/>
        </w:rPr>
        <w:t>C</w:t>
      </w:r>
      <w:r w:rsidRPr="00155900">
        <w:rPr>
          <w:rFonts w:ascii="Georgia" w:hAnsi="Georgia"/>
          <w:sz w:val="24"/>
        </w:rPr>
        <w:t xml:space="preserve"> patents could be litigated</w:t>
      </w:r>
      <w:r>
        <w:rPr>
          <w:rStyle w:val="Voetnootmarkering"/>
          <w:rFonts w:ascii="Georgia" w:hAnsi="Georgia"/>
          <w:sz w:val="24"/>
        </w:rPr>
        <w:footnoteReference w:id="2"/>
      </w:r>
      <w:r>
        <w:rPr>
          <w:rFonts w:ascii="Georgia" w:hAnsi="Georgia"/>
          <w:sz w:val="24"/>
        </w:rPr>
        <w:t xml:space="preserve">, </w:t>
      </w:r>
      <w:r w:rsidRPr="00155900">
        <w:rPr>
          <w:rFonts w:ascii="Georgia" w:hAnsi="Georgia"/>
          <w:sz w:val="24"/>
        </w:rPr>
        <w:t>is not possible</w:t>
      </w:r>
      <w:r w:rsidRPr="00155900">
        <w:rPr>
          <w:rStyle w:val="Voetnootmarkering"/>
          <w:rFonts w:ascii="Georgia" w:hAnsi="Georgia"/>
          <w:sz w:val="24"/>
        </w:rPr>
        <w:footnoteReference w:id="3"/>
      </w:r>
      <w:r w:rsidRPr="00155900">
        <w:rPr>
          <w:rFonts w:ascii="Georgia" w:hAnsi="Georgia"/>
          <w:sz w:val="24"/>
        </w:rPr>
        <w:t>.</w:t>
      </w:r>
    </w:p>
    <w:p w:rsidR="00801430" w:rsidRPr="00155900" w:rsidRDefault="00801430" w:rsidP="00864E96">
      <w:pPr>
        <w:spacing w:line="24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(2) The </w:t>
      </w:r>
      <w:smartTag w:uri="urn:schemas-microsoft-com:office:smarttags" w:element="Street">
        <w:smartTag w:uri="urn:schemas-microsoft-com:office:smarttags" w:element="address">
          <w:r w:rsidRPr="00155900">
            <w:rPr>
              <w:rFonts w:ascii="Georgia" w:hAnsi="Georgia"/>
              <w:sz w:val="24"/>
            </w:rPr>
            <w:t>Patent Court</w:t>
          </w:r>
        </w:smartTag>
      </w:smartTag>
      <w:r w:rsidRPr="00155900">
        <w:rPr>
          <w:rFonts w:ascii="Georgia" w:hAnsi="Georgia"/>
          <w:sz w:val="24"/>
        </w:rPr>
        <w:t xml:space="preserve"> would not have </w:t>
      </w:r>
      <w:r w:rsidRPr="00983E0C">
        <w:rPr>
          <w:rFonts w:ascii="Georgia" w:hAnsi="Georgia"/>
          <w:i/>
          <w:color w:val="FF0000"/>
          <w:sz w:val="24"/>
        </w:rPr>
        <w:t xml:space="preserve">exclusive jurisdiction </w:t>
      </w:r>
      <w:r w:rsidRPr="00983E0C">
        <w:rPr>
          <w:rFonts w:ascii="Georgia" w:hAnsi="Georgia"/>
          <w:color w:val="FF0000"/>
          <w:sz w:val="24"/>
        </w:rPr>
        <w:t>for</w:t>
      </w:r>
      <w:r w:rsidRPr="00155900">
        <w:rPr>
          <w:rFonts w:ascii="Georgia" w:hAnsi="Georgia"/>
          <w:sz w:val="24"/>
        </w:rPr>
        <w:t xml:space="preserve"> all que</w:t>
      </w:r>
      <w:r w:rsidRPr="00155900">
        <w:rPr>
          <w:rFonts w:ascii="Georgia" w:hAnsi="Georgia"/>
          <w:sz w:val="24"/>
        </w:rPr>
        <w:t>s</w:t>
      </w:r>
      <w:r w:rsidRPr="00155900">
        <w:rPr>
          <w:rFonts w:ascii="Georgia" w:hAnsi="Georgia"/>
          <w:sz w:val="24"/>
        </w:rPr>
        <w:t>tions occurring in a case of patent litigation, and therefore cannot replace the existing national courts which would continue to exist</w:t>
      </w:r>
      <w:r w:rsidRPr="00155900">
        <w:rPr>
          <w:rStyle w:val="Voetnootmarkering"/>
          <w:rFonts w:ascii="Georgia" w:hAnsi="Georgia"/>
          <w:sz w:val="24"/>
        </w:rPr>
        <w:footnoteReference w:id="4"/>
      </w:r>
      <w:r w:rsidRPr="00155900">
        <w:rPr>
          <w:rFonts w:ascii="Georgia" w:hAnsi="Georgia"/>
          <w:sz w:val="24"/>
        </w:rPr>
        <w:t xml:space="preserve">. The Opinion repeats several times that only national courts (of the EU member states) can guaranty the necessary close cooperation with the </w:t>
      </w:r>
      <w:r>
        <w:rPr>
          <w:rFonts w:ascii="Georgia" w:hAnsi="Georgia"/>
          <w:sz w:val="24"/>
        </w:rPr>
        <w:t>CJ</w:t>
      </w:r>
      <w:r w:rsidRPr="00155900">
        <w:rPr>
          <w:rStyle w:val="Voetnootmarkering"/>
          <w:rFonts w:ascii="Georgia" w:hAnsi="Georgia"/>
          <w:sz w:val="24"/>
        </w:rPr>
        <w:footnoteReference w:id="5"/>
      </w:r>
      <w:r w:rsidRPr="00155900">
        <w:rPr>
          <w:rFonts w:ascii="Georgia" w:hAnsi="Georgia"/>
          <w:sz w:val="24"/>
        </w:rPr>
        <w:t xml:space="preserve"> and the full co</w:t>
      </w:r>
      <w:r w:rsidRPr="00155900">
        <w:rPr>
          <w:rFonts w:ascii="Georgia" w:hAnsi="Georgia"/>
          <w:sz w:val="24"/>
        </w:rPr>
        <w:t>n</w:t>
      </w:r>
      <w:r w:rsidRPr="00155900">
        <w:rPr>
          <w:rFonts w:ascii="Georgia" w:hAnsi="Georgia"/>
          <w:sz w:val="24"/>
        </w:rPr>
        <w:t xml:space="preserve">trol required by the judges in </w:t>
      </w:r>
      <w:smartTag w:uri="urn:schemas-microsoft-com:office:smarttags" w:element="country-region">
        <w:smartTag w:uri="urn:schemas-microsoft-com:office:smarttags" w:element="place">
          <w:r w:rsidRPr="00155900">
            <w:rPr>
              <w:rFonts w:ascii="Georgia" w:hAnsi="Georgia"/>
              <w:sz w:val="24"/>
            </w:rPr>
            <w:t>Luxembourg</w:t>
          </w:r>
        </w:smartTag>
      </w:smartTag>
      <w:r w:rsidRPr="00155900">
        <w:rPr>
          <w:rFonts w:ascii="Georgia" w:hAnsi="Georgia"/>
          <w:sz w:val="24"/>
        </w:rPr>
        <w:t xml:space="preserve">. It cites the </w:t>
      </w:r>
      <w:smartTag w:uri="urn:schemas-microsoft-com:office:smarttags" w:element="Street">
        <w:smartTag w:uri="urn:schemas-microsoft-com:office:smarttags" w:element="address">
          <w:r w:rsidRPr="00155900">
            <w:rPr>
              <w:rFonts w:ascii="Georgia" w:hAnsi="Georgia"/>
              <w:sz w:val="24"/>
            </w:rPr>
            <w:t>Benelux Court</w:t>
          </w:r>
        </w:smartTag>
      </w:smartTag>
      <w:r w:rsidRPr="00155900">
        <w:rPr>
          <w:rFonts w:ascii="Georgia" w:hAnsi="Georgia"/>
          <w:sz w:val="24"/>
        </w:rPr>
        <w:t xml:space="preserve"> as an example</w:t>
      </w:r>
      <w:r w:rsidRPr="00155900">
        <w:rPr>
          <w:rStyle w:val="Voetnootmarkering"/>
          <w:rFonts w:ascii="Georgia" w:hAnsi="Georgia"/>
          <w:sz w:val="24"/>
        </w:rPr>
        <w:footnoteReference w:id="6"/>
      </w:r>
      <w:r w:rsidRPr="00155900">
        <w:rPr>
          <w:rFonts w:ascii="Georgia" w:hAnsi="Georgia"/>
          <w:sz w:val="24"/>
        </w:rPr>
        <w:t xml:space="preserve"> which indeed does not replace the national courts in the three countries</w:t>
      </w:r>
      <w:r w:rsidRPr="00155900">
        <w:rPr>
          <w:rStyle w:val="Voetnootmarkering"/>
          <w:rFonts w:ascii="Georgia" w:hAnsi="Georgia"/>
          <w:sz w:val="24"/>
        </w:rPr>
        <w:footnoteReference w:id="7"/>
      </w:r>
      <w:r w:rsidRPr="00155900">
        <w:rPr>
          <w:rFonts w:ascii="Georgia" w:hAnsi="Georgia"/>
          <w:sz w:val="24"/>
        </w:rPr>
        <w:t xml:space="preserve">. </w:t>
      </w:r>
    </w:p>
    <w:p w:rsidR="00801430" w:rsidRPr="00155900" w:rsidRDefault="00801430" w:rsidP="00864E96">
      <w:pPr>
        <w:spacing w:line="24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(3) The remark by the </w:t>
      </w:r>
      <w:r>
        <w:rPr>
          <w:rFonts w:ascii="Georgia" w:hAnsi="Georgia"/>
          <w:sz w:val="24"/>
        </w:rPr>
        <w:t>CJ</w:t>
      </w:r>
      <w:r w:rsidRPr="00155900">
        <w:rPr>
          <w:rFonts w:ascii="Georgia" w:hAnsi="Georgia"/>
          <w:sz w:val="24"/>
        </w:rPr>
        <w:t xml:space="preserve"> that the Patent court could also become legi</w:t>
      </w:r>
      <w:r w:rsidRPr="00155900">
        <w:rPr>
          <w:rFonts w:ascii="Georgia" w:hAnsi="Georgia"/>
          <w:sz w:val="24"/>
        </w:rPr>
        <w:t>t</w:t>
      </w:r>
      <w:r w:rsidRPr="00155900">
        <w:rPr>
          <w:rFonts w:ascii="Georgia" w:hAnsi="Georgia"/>
          <w:sz w:val="24"/>
        </w:rPr>
        <w:t xml:space="preserve">imate, if its </w:t>
      </w:r>
      <w:r w:rsidRPr="00155900">
        <w:rPr>
          <w:rFonts w:ascii="Georgia" w:hAnsi="Georgia"/>
          <w:i/>
          <w:sz w:val="24"/>
        </w:rPr>
        <w:t>competence were limited</w:t>
      </w:r>
      <w:r w:rsidRPr="00155900">
        <w:rPr>
          <w:rFonts w:ascii="Georgia" w:hAnsi="Georgia"/>
          <w:sz w:val="24"/>
        </w:rPr>
        <w:t xml:space="preserve"> to the interpretation of the (Draft) Agreement</w:t>
      </w:r>
      <w:r w:rsidRPr="00155900">
        <w:rPr>
          <w:rStyle w:val="Voetnootmarkering"/>
          <w:rFonts w:ascii="Georgia" w:hAnsi="Georgia"/>
          <w:sz w:val="24"/>
        </w:rPr>
        <w:footnoteReference w:id="8"/>
      </w:r>
      <w:r w:rsidRPr="00155900">
        <w:rPr>
          <w:rFonts w:ascii="Georgia" w:hAnsi="Georgia"/>
          <w:sz w:val="24"/>
        </w:rPr>
        <w:t>, will not be understood by the users as a real alternative, when they have to keep the national courts for questions of EU law, so that p</w:t>
      </w:r>
      <w:r w:rsidRPr="00155900">
        <w:rPr>
          <w:rFonts w:ascii="Georgia" w:hAnsi="Georgia"/>
          <w:sz w:val="24"/>
        </w:rPr>
        <w:t>a</w:t>
      </w:r>
      <w:r w:rsidRPr="00155900">
        <w:rPr>
          <w:rFonts w:ascii="Georgia" w:hAnsi="Georgia"/>
          <w:sz w:val="24"/>
        </w:rPr>
        <w:t xml:space="preserve">tent litigation </w:t>
      </w:r>
      <w:r>
        <w:rPr>
          <w:rFonts w:ascii="Georgia" w:hAnsi="Georgia"/>
          <w:sz w:val="24"/>
        </w:rPr>
        <w:t>would</w:t>
      </w:r>
      <w:r w:rsidRPr="00155900">
        <w:rPr>
          <w:rFonts w:ascii="Georgia" w:hAnsi="Georgia"/>
          <w:sz w:val="24"/>
        </w:rPr>
        <w:t xml:space="preserve"> require two instances of the EEUPC, two (or three) </w:t>
      </w:r>
      <w:r>
        <w:rPr>
          <w:rFonts w:ascii="Georgia" w:hAnsi="Georgia"/>
          <w:sz w:val="24"/>
        </w:rPr>
        <w:t xml:space="preserve">instances </w:t>
      </w:r>
      <w:r w:rsidRPr="00155900">
        <w:rPr>
          <w:rFonts w:ascii="Georgia" w:hAnsi="Georgia"/>
          <w:sz w:val="24"/>
        </w:rPr>
        <w:t xml:space="preserve">of national courts and in addition the </w:t>
      </w:r>
      <w:r>
        <w:rPr>
          <w:rFonts w:ascii="Georgia" w:hAnsi="Georgia"/>
          <w:sz w:val="24"/>
        </w:rPr>
        <w:t>CJ</w:t>
      </w:r>
      <w:r w:rsidRPr="00155900">
        <w:rPr>
          <w:rFonts w:ascii="Georgia" w:hAnsi="Georgia"/>
          <w:sz w:val="24"/>
        </w:rPr>
        <w:t xml:space="preserve"> as an additional i</w:t>
      </w:r>
      <w:r w:rsidRPr="00155900">
        <w:rPr>
          <w:rFonts w:ascii="Georgia" w:hAnsi="Georgia"/>
          <w:sz w:val="24"/>
        </w:rPr>
        <w:t>n</w:t>
      </w:r>
      <w:r w:rsidRPr="00155900">
        <w:rPr>
          <w:rFonts w:ascii="Georgia" w:hAnsi="Georgia"/>
          <w:sz w:val="24"/>
        </w:rPr>
        <w:t>stance on top. Why would the users not rather keep the present system with efficient national courts and experienced patent judges in two or maximum three instances?</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(4) The </w:t>
      </w:r>
      <w:smartTag w:uri="urn:schemas-microsoft-com:office:smarttags" w:element="address">
        <w:smartTag w:uri="urn:schemas-microsoft-com:office:smarttags" w:element="Street">
          <w:r>
            <w:rPr>
              <w:rFonts w:ascii="Georgia" w:hAnsi="Georgia"/>
              <w:sz w:val="24"/>
            </w:rPr>
            <w:t>Patent Court</w:t>
          </w:r>
        </w:smartTag>
      </w:smartTag>
      <w:r>
        <w:rPr>
          <w:rFonts w:ascii="Georgia" w:hAnsi="Georgia"/>
          <w:sz w:val="24"/>
        </w:rPr>
        <w:t xml:space="preserve"> </w:t>
      </w:r>
      <w:r w:rsidRPr="00155900">
        <w:rPr>
          <w:rFonts w:ascii="Georgia" w:hAnsi="Georgia"/>
          <w:sz w:val="24"/>
        </w:rPr>
        <w:t xml:space="preserve">would have to work under the full control of the </w:t>
      </w:r>
      <w:r>
        <w:rPr>
          <w:rFonts w:ascii="Georgia" w:hAnsi="Georgia"/>
          <w:sz w:val="24"/>
        </w:rPr>
        <w:t>CJ</w:t>
      </w:r>
      <w:r w:rsidRPr="00155900">
        <w:rPr>
          <w:rStyle w:val="Voetnootmarkering"/>
          <w:rFonts w:ascii="Georgia" w:hAnsi="Georgia"/>
          <w:sz w:val="24"/>
        </w:rPr>
        <w:footnoteReference w:id="9"/>
      </w:r>
      <w:r w:rsidRPr="00155900">
        <w:rPr>
          <w:rFonts w:ascii="Georgia" w:hAnsi="Georgia"/>
          <w:sz w:val="24"/>
        </w:rPr>
        <w:t xml:space="preserve"> so that any incorrect application of EU law or an omission of a referral to the ECJ can be sanctioned and member states could be made account</w:t>
      </w:r>
      <w:r w:rsidRPr="00155900">
        <w:rPr>
          <w:rFonts w:ascii="Georgia" w:hAnsi="Georgia"/>
          <w:sz w:val="24"/>
        </w:rPr>
        <w:t>a</w:t>
      </w:r>
      <w:r w:rsidRPr="00155900">
        <w:rPr>
          <w:rFonts w:ascii="Georgia" w:hAnsi="Georgia"/>
          <w:sz w:val="24"/>
        </w:rPr>
        <w:t>ble for a violation of these rules</w:t>
      </w:r>
      <w:r w:rsidRPr="00155900">
        <w:rPr>
          <w:rStyle w:val="Voetnootmarkering"/>
          <w:rFonts w:ascii="Georgia" w:hAnsi="Georgia"/>
          <w:sz w:val="24"/>
        </w:rPr>
        <w:footnoteReference w:id="10"/>
      </w:r>
      <w:r w:rsidRPr="00155900">
        <w:rPr>
          <w:rFonts w:ascii="Georgia" w:hAnsi="Georgia"/>
          <w:sz w:val="24"/>
        </w:rPr>
        <w:t>. But which individual or company will regard it as an important improve</w:t>
      </w:r>
      <w:r>
        <w:rPr>
          <w:rFonts w:ascii="Georgia" w:hAnsi="Georgia"/>
          <w:sz w:val="24"/>
        </w:rPr>
        <w:t>ment</w:t>
      </w:r>
      <w:r w:rsidRPr="00155900">
        <w:rPr>
          <w:rFonts w:ascii="Georgia" w:hAnsi="Georgia"/>
          <w:sz w:val="24"/>
        </w:rPr>
        <w:t xml:space="preserve">, when he can start a damage action against all EU member states of the Unitary patent agreement, if and when a local division regarded it unnecessary to refer a case to the </w:t>
      </w:r>
      <w:r>
        <w:rPr>
          <w:rFonts w:ascii="Georgia" w:hAnsi="Georgia"/>
          <w:sz w:val="24"/>
        </w:rPr>
        <w:t>CJ</w:t>
      </w:r>
      <w:r w:rsidRPr="00155900">
        <w:rPr>
          <w:rFonts w:ascii="Georgia" w:hAnsi="Georgia"/>
          <w:sz w:val="24"/>
        </w:rPr>
        <w:t xml:space="preserve"> for preli</w:t>
      </w:r>
      <w:r w:rsidRPr="00155900">
        <w:rPr>
          <w:rFonts w:ascii="Georgia" w:hAnsi="Georgia"/>
          <w:sz w:val="24"/>
        </w:rPr>
        <w:t>m</w:t>
      </w:r>
      <w:r w:rsidRPr="00155900">
        <w:rPr>
          <w:rFonts w:ascii="Georgia" w:hAnsi="Georgia"/>
          <w:sz w:val="24"/>
        </w:rPr>
        <w:t>inary ruling</w:t>
      </w:r>
      <w:r w:rsidRPr="00155900">
        <w:rPr>
          <w:rStyle w:val="Voetnootmarkering"/>
          <w:rFonts w:ascii="Georgia" w:hAnsi="Georgia"/>
          <w:sz w:val="24"/>
        </w:rPr>
        <w:footnoteReference w:id="11"/>
      </w:r>
      <w:r w:rsidRPr="00155900">
        <w:rPr>
          <w:rFonts w:ascii="Georgia" w:hAnsi="Georgia"/>
          <w:sz w:val="24"/>
        </w:rPr>
        <w:t xml:space="preserve">? With the court system today there is no jurisdiction of the </w:t>
      </w:r>
      <w:r>
        <w:rPr>
          <w:rFonts w:ascii="Georgia" w:hAnsi="Georgia"/>
          <w:sz w:val="24"/>
        </w:rPr>
        <w:t>CJ</w:t>
      </w:r>
      <w:r w:rsidRPr="00155900">
        <w:rPr>
          <w:rFonts w:ascii="Georgia" w:hAnsi="Georgia"/>
          <w:sz w:val="24"/>
        </w:rPr>
        <w:t>, since patent law is not – with very limited exceptions – part of the EU legal order.</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(5) Consequently, if changes are accepted in order to comply with the requirements of the Opinion patent litigation would not end in the Court of Appeal, since a losing party could request at any time a referral of the </w:t>
      </w:r>
      <w:r w:rsidRPr="00155900">
        <w:rPr>
          <w:rFonts w:ascii="Georgia" w:hAnsi="Georgia"/>
          <w:sz w:val="24"/>
        </w:rPr>
        <w:lastRenderedPageBreak/>
        <w:t xml:space="preserve">case to the </w:t>
      </w:r>
      <w:r>
        <w:rPr>
          <w:rFonts w:ascii="Georgia" w:hAnsi="Georgia"/>
          <w:sz w:val="24"/>
        </w:rPr>
        <w:t>CJ</w:t>
      </w:r>
      <w:r w:rsidRPr="00155900">
        <w:rPr>
          <w:rFonts w:ascii="Georgia" w:hAnsi="Georgia"/>
          <w:sz w:val="24"/>
        </w:rPr>
        <w:t xml:space="preserve">. Furthermore, although not expressly mentioned in the </w:t>
      </w:r>
      <w:r>
        <w:rPr>
          <w:rFonts w:ascii="Georgia" w:hAnsi="Georgia"/>
          <w:sz w:val="24"/>
        </w:rPr>
        <w:t xml:space="preserve">CJ </w:t>
      </w:r>
      <w:r w:rsidRPr="00155900">
        <w:rPr>
          <w:rFonts w:ascii="Georgia" w:hAnsi="Georgia"/>
          <w:sz w:val="24"/>
        </w:rPr>
        <w:t xml:space="preserve">Opinion, the </w:t>
      </w:r>
      <w:r>
        <w:rPr>
          <w:rFonts w:ascii="Georgia" w:hAnsi="Georgia"/>
          <w:sz w:val="24"/>
        </w:rPr>
        <w:t>CJ</w:t>
      </w:r>
      <w:r w:rsidRPr="00155900">
        <w:rPr>
          <w:rFonts w:ascii="Georgia" w:hAnsi="Georgia"/>
          <w:sz w:val="24"/>
        </w:rPr>
        <w:t xml:space="preserve"> </w:t>
      </w:r>
      <w:r>
        <w:rPr>
          <w:rFonts w:ascii="Georgia" w:hAnsi="Georgia"/>
          <w:sz w:val="24"/>
        </w:rPr>
        <w:t xml:space="preserve">would also act </w:t>
      </w:r>
      <w:r w:rsidRPr="00155900">
        <w:rPr>
          <w:rFonts w:ascii="Georgia" w:hAnsi="Georgia"/>
          <w:sz w:val="24"/>
        </w:rPr>
        <w:t>as a third instance above the Boards of A</w:t>
      </w:r>
      <w:r w:rsidRPr="00155900">
        <w:rPr>
          <w:rFonts w:ascii="Georgia" w:hAnsi="Georgia"/>
          <w:sz w:val="24"/>
        </w:rPr>
        <w:t>p</w:t>
      </w:r>
      <w:r w:rsidRPr="00155900">
        <w:rPr>
          <w:rFonts w:ascii="Georgia" w:hAnsi="Georgia"/>
          <w:sz w:val="24"/>
        </w:rPr>
        <w:t>peal of the EPO in the granting and opposition proce</w:t>
      </w:r>
      <w:r>
        <w:rPr>
          <w:rFonts w:ascii="Georgia" w:hAnsi="Georgia"/>
          <w:sz w:val="24"/>
        </w:rPr>
        <w:t>e</w:t>
      </w:r>
      <w:r w:rsidRPr="00155900">
        <w:rPr>
          <w:rFonts w:ascii="Georgia" w:hAnsi="Georgia"/>
          <w:sz w:val="24"/>
        </w:rPr>
        <w:t>d</w:t>
      </w:r>
      <w:r>
        <w:rPr>
          <w:rFonts w:ascii="Georgia" w:hAnsi="Georgia"/>
          <w:sz w:val="24"/>
        </w:rPr>
        <w:t>ings</w:t>
      </w:r>
      <w:r w:rsidRPr="00155900">
        <w:rPr>
          <w:rFonts w:ascii="Georgia" w:hAnsi="Georgia"/>
          <w:sz w:val="24"/>
        </w:rPr>
        <w:t xml:space="preserve"> in cases co</w:t>
      </w:r>
      <w:r w:rsidRPr="00155900">
        <w:rPr>
          <w:rFonts w:ascii="Georgia" w:hAnsi="Georgia"/>
          <w:sz w:val="24"/>
        </w:rPr>
        <w:t>n</w:t>
      </w:r>
      <w:r w:rsidRPr="00155900">
        <w:rPr>
          <w:rFonts w:ascii="Georgia" w:hAnsi="Georgia"/>
          <w:sz w:val="24"/>
        </w:rPr>
        <w:t>cerning the Unitary patents, as it was mentioned by the AGs.</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(6) If substantive patent law becomes part of the EU legal </w:t>
      </w:r>
      <w:r>
        <w:rPr>
          <w:rFonts w:ascii="Georgia" w:hAnsi="Georgia"/>
          <w:sz w:val="24"/>
        </w:rPr>
        <w:t>order, which can</w:t>
      </w:r>
      <w:r w:rsidRPr="00155900">
        <w:rPr>
          <w:rFonts w:ascii="Georgia" w:hAnsi="Georgia"/>
          <w:sz w:val="24"/>
        </w:rPr>
        <w:t xml:space="preserve"> p</w:t>
      </w:r>
      <w:r>
        <w:rPr>
          <w:rFonts w:ascii="Georgia" w:hAnsi="Georgia"/>
          <w:sz w:val="24"/>
        </w:rPr>
        <w:t>erhaps</w:t>
      </w:r>
      <w:r w:rsidRPr="00155900">
        <w:rPr>
          <w:rFonts w:ascii="Georgia" w:hAnsi="Georgia"/>
          <w:sz w:val="24"/>
        </w:rPr>
        <w:t xml:space="preserve"> not be prevented, the involvement of the </w:t>
      </w:r>
      <w:r>
        <w:rPr>
          <w:rFonts w:ascii="Georgia" w:hAnsi="Georgia"/>
          <w:sz w:val="24"/>
        </w:rPr>
        <w:t>CJ</w:t>
      </w:r>
      <w:r w:rsidRPr="00155900">
        <w:rPr>
          <w:rFonts w:ascii="Georgia" w:hAnsi="Georgia"/>
          <w:sz w:val="24"/>
        </w:rPr>
        <w:t xml:space="preserve"> as a third i</w:t>
      </w:r>
      <w:r w:rsidRPr="00155900">
        <w:rPr>
          <w:rFonts w:ascii="Georgia" w:hAnsi="Georgia"/>
          <w:sz w:val="24"/>
        </w:rPr>
        <w:t>n</w:t>
      </w:r>
      <w:r w:rsidRPr="00155900">
        <w:rPr>
          <w:rFonts w:ascii="Georgia" w:hAnsi="Georgia"/>
          <w:sz w:val="24"/>
        </w:rPr>
        <w:t>stance in questions of interpretation of substantive patent law would b</w:t>
      </w:r>
      <w:r w:rsidRPr="00155900">
        <w:rPr>
          <w:rFonts w:ascii="Georgia" w:hAnsi="Georgia"/>
          <w:sz w:val="24"/>
        </w:rPr>
        <w:t>e</w:t>
      </w:r>
      <w:r w:rsidRPr="00155900">
        <w:rPr>
          <w:rFonts w:ascii="Georgia" w:hAnsi="Georgia"/>
          <w:sz w:val="24"/>
        </w:rPr>
        <w:t xml:space="preserve">come a fact of daily patent litigation. This would have the result that the promise for more predictable, efficient and less costly litigation can no longer be fulfilled. To the contrary: when questions of inventive step and claim interpretation are decided by judges in the </w:t>
      </w:r>
      <w:r>
        <w:rPr>
          <w:rFonts w:ascii="Georgia" w:hAnsi="Georgia"/>
          <w:sz w:val="24"/>
        </w:rPr>
        <w:t>CJ</w:t>
      </w:r>
      <w:r w:rsidRPr="00155900">
        <w:rPr>
          <w:rFonts w:ascii="Georgia" w:hAnsi="Georgia"/>
          <w:sz w:val="24"/>
        </w:rPr>
        <w:t xml:space="preserve"> who lack patent exp</w:t>
      </w:r>
      <w:r w:rsidRPr="00155900">
        <w:rPr>
          <w:rFonts w:ascii="Georgia" w:hAnsi="Georgia"/>
          <w:sz w:val="24"/>
        </w:rPr>
        <w:t>e</w:t>
      </w:r>
      <w:r w:rsidRPr="00155900">
        <w:rPr>
          <w:rFonts w:ascii="Georgia" w:hAnsi="Georgia"/>
          <w:sz w:val="24"/>
        </w:rPr>
        <w:t>rience and the technical and legal understanding, which in patent law is a basic requirement for a predictable decision, the system would lose one of its most attractive features</w:t>
      </w:r>
      <w:r>
        <w:rPr>
          <w:rFonts w:ascii="Georgia" w:hAnsi="Georgia"/>
          <w:sz w:val="24"/>
        </w:rPr>
        <w:t>, and users will lose</w:t>
      </w:r>
      <w:r w:rsidRPr="00155900">
        <w:rPr>
          <w:rFonts w:ascii="Georgia" w:hAnsi="Georgia"/>
          <w:sz w:val="24"/>
        </w:rPr>
        <w:t xml:space="preserve"> interest before the system even takes shape. </w:t>
      </w:r>
    </w:p>
    <w:p w:rsidR="00801430" w:rsidRPr="00155900" w:rsidRDefault="00801430" w:rsidP="00864E96">
      <w:pPr>
        <w:spacing w:line="360" w:lineRule="auto"/>
        <w:ind w:left="1155"/>
        <w:rPr>
          <w:rFonts w:ascii="Georgia" w:hAnsi="Georgia"/>
          <w:sz w:val="24"/>
        </w:rPr>
      </w:pPr>
    </w:p>
    <w:p w:rsidR="00801430" w:rsidRDefault="00801430" w:rsidP="00864E96">
      <w:pPr>
        <w:spacing w:line="240" w:lineRule="auto"/>
        <w:ind w:left="1155"/>
        <w:rPr>
          <w:rFonts w:ascii="Georgia" w:hAnsi="Georgia"/>
          <w:sz w:val="24"/>
        </w:rPr>
      </w:pPr>
      <w:r w:rsidRPr="00155900">
        <w:rPr>
          <w:rFonts w:ascii="Georgia" w:hAnsi="Georgia"/>
          <w:sz w:val="24"/>
        </w:rPr>
        <w:tab/>
        <w:t xml:space="preserve">(7) The </w:t>
      </w:r>
      <w:r>
        <w:rPr>
          <w:rFonts w:ascii="Georgia" w:hAnsi="Georgia"/>
          <w:sz w:val="24"/>
        </w:rPr>
        <w:t>CJ</w:t>
      </w:r>
      <w:r w:rsidRPr="00155900">
        <w:rPr>
          <w:rFonts w:ascii="Georgia" w:hAnsi="Georgia"/>
          <w:sz w:val="24"/>
        </w:rPr>
        <w:t xml:space="preserve"> expressly mentions (par. 59) that the Opinion is dealing e</w:t>
      </w:r>
      <w:r w:rsidRPr="00155900">
        <w:rPr>
          <w:rFonts w:ascii="Georgia" w:hAnsi="Georgia"/>
          <w:sz w:val="24"/>
        </w:rPr>
        <w:t>x</w:t>
      </w:r>
      <w:r w:rsidRPr="00155900">
        <w:rPr>
          <w:rFonts w:ascii="Georgia" w:hAnsi="Georgia"/>
          <w:sz w:val="24"/>
        </w:rPr>
        <w:t>clusively with a court system for the EU or Community patent</w:t>
      </w:r>
      <w:r w:rsidRPr="00155900">
        <w:rPr>
          <w:rStyle w:val="Voetnootmarkering"/>
          <w:rFonts w:ascii="Georgia" w:hAnsi="Georgia"/>
          <w:sz w:val="24"/>
        </w:rPr>
        <w:footnoteReference w:id="12"/>
      </w:r>
      <w:r w:rsidRPr="00155900">
        <w:rPr>
          <w:rFonts w:ascii="Georgia" w:hAnsi="Georgia"/>
          <w:sz w:val="24"/>
        </w:rPr>
        <w:t>. The A</w:t>
      </w:r>
      <w:r w:rsidRPr="00155900">
        <w:rPr>
          <w:rFonts w:ascii="Georgia" w:hAnsi="Georgia"/>
          <w:sz w:val="24"/>
        </w:rPr>
        <w:t>d</w:t>
      </w:r>
      <w:r w:rsidRPr="00155900">
        <w:rPr>
          <w:rFonts w:ascii="Georgia" w:hAnsi="Georgia"/>
          <w:sz w:val="24"/>
        </w:rPr>
        <w:t xml:space="preserve">vocates General had explained </w:t>
      </w:r>
      <w:r>
        <w:rPr>
          <w:rFonts w:ascii="Georgia" w:hAnsi="Georgia"/>
          <w:sz w:val="24"/>
        </w:rPr>
        <w:t xml:space="preserve">– while </w:t>
      </w:r>
      <w:r w:rsidRPr="00155900">
        <w:rPr>
          <w:rFonts w:ascii="Georgia" w:hAnsi="Georgia"/>
          <w:sz w:val="24"/>
        </w:rPr>
        <w:t>making the same distinction b</w:t>
      </w:r>
      <w:r w:rsidRPr="00155900">
        <w:rPr>
          <w:rFonts w:ascii="Georgia" w:hAnsi="Georgia"/>
          <w:sz w:val="24"/>
        </w:rPr>
        <w:t>e</w:t>
      </w:r>
      <w:r w:rsidRPr="00155900">
        <w:rPr>
          <w:rFonts w:ascii="Georgia" w:hAnsi="Georgia"/>
          <w:sz w:val="24"/>
        </w:rPr>
        <w:t>tween EPC and EU patents</w:t>
      </w:r>
      <w:r>
        <w:rPr>
          <w:rFonts w:ascii="Georgia" w:hAnsi="Georgia"/>
          <w:sz w:val="24"/>
        </w:rPr>
        <w:t xml:space="preserve"> –</w:t>
      </w:r>
      <w:r w:rsidRPr="00155900">
        <w:rPr>
          <w:rFonts w:ascii="Georgia" w:hAnsi="Georgia"/>
          <w:sz w:val="24"/>
        </w:rPr>
        <w:t xml:space="preserve"> that a court for EPC patents could be lawfully set up by Member States outside the EU legal order. This was interpreted by a number of users as an option for </w:t>
      </w:r>
      <w:r>
        <w:rPr>
          <w:rFonts w:ascii="Georgia" w:hAnsi="Georgia"/>
          <w:sz w:val="24"/>
        </w:rPr>
        <w:t xml:space="preserve">an </w:t>
      </w:r>
      <w:r w:rsidRPr="00155900">
        <w:rPr>
          <w:rFonts w:ascii="Georgia" w:hAnsi="Georgia"/>
          <w:sz w:val="24"/>
        </w:rPr>
        <w:t>EPLA</w:t>
      </w:r>
      <w:r>
        <w:rPr>
          <w:rFonts w:ascii="Georgia" w:hAnsi="Georgia"/>
          <w:sz w:val="24"/>
        </w:rPr>
        <w:t>-type court</w:t>
      </w:r>
      <w:r w:rsidRPr="00155900">
        <w:rPr>
          <w:rFonts w:ascii="Georgia" w:hAnsi="Georgia"/>
          <w:sz w:val="24"/>
        </w:rPr>
        <w:t>, if the EU r</w:t>
      </w:r>
      <w:r w:rsidRPr="00155900">
        <w:rPr>
          <w:rFonts w:ascii="Georgia" w:hAnsi="Georgia"/>
          <w:sz w:val="24"/>
        </w:rPr>
        <w:t>e</w:t>
      </w:r>
      <w:r w:rsidRPr="00155900">
        <w:rPr>
          <w:rFonts w:ascii="Georgia" w:hAnsi="Georgia"/>
          <w:sz w:val="24"/>
        </w:rPr>
        <w:t>quirements cannot reasonably be fulfilled</w:t>
      </w:r>
      <w:r w:rsidRPr="00155900">
        <w:rPr>
          <w:rStyle w:val="Voetnootmarkering"/>
          <w:rFonts w:ascii="Georgia" w:hAnsi="Georgia"/>
          <w:sz w:val="24"/>
        </w:rPr>
        <w:footnoteReference w:id="13"/>
      </w:r>
      <w:r w:rsidRPr="00155900">
        <w:rPr>
          <w:rFonts w:ascii="Georgia" w:hAnsi="Georgia"/>
          <w:sz w:val="24"/>
        </w:rPr>
        <w:t xml:space="preserve">. </w:t>
      </w:r>
      <w:r>
        <w:rPr>
          <w:rFonts w:ascii="Georgia" w:hAnsi="Georgia"/>
          <w:sz w:val="24"/>
        </w:rPr>
        <w:t xml:space="preserve"> </w:t>
      </w:r>
    </w:p>
    <w:p w:rsidR="00801430" w:rsidRDefault="00801430" w:rsidP="00864E96">
      <w:pPr>
        <w:spacing w:line="240" w:lineRule="auto"/>
        <w:ind w:left="1155"/>
        <w:rPr>
          <w:rFonts w:ascii="Georgia" w:hAnsi="Georgia"/>
          <w:sz w:val="24"/>
        </w:rPr>
      </w:pPr>
    </w:p>
    <w:p w:rsidR="00801430" w:rsidRPr="00155900" w:rsidRDefault="00801430" w:rsidP="00A74F50">
      <w:pPr>
        <w:spacing w:line="240" w:lineRule="auto"/>
        <w:ind w:left="1155"/>
        <w:rPr>
          <w:rFonts w:ascii="Georgia" w:hAnsi="Georgia"/>
          <w:sz w:val="24"/>
        </w:rPr>
      </w:pPr>
      <w:r w:rsidRPr="00155900">
        <w:rPr>
          <w:rFonts w:ascii="Georgia" w:hAnsi="Georgia"/>
          <w:sz w:val="24"/>
        </w:rPr>
        <w:t xml:space="preserve">The </w:t>
      </w:r>
      <w:r>
        <w:rPr>
          <w:rFonts w:ascii="Georgia" w:hAnsi="Georgia"/>
          <w:sz w:val="24"/>
        </w:rPr>
        <w:t>CJ</w:t>
      </w:r>
      <w:r w:rsidRPr="00155900">
        <w:rPr>
          <w:rFonts w:ascii="Georgia" w:hAnsi="Georgia"/>
          <w:sz w:val="24"/>
        </w:rPr>
        <w:t xml:space="preserve"> does not discuss this proposal of the AGs which is regrettable, since it leaves questions open </w:t>
      </w:r>
      <w:r>
        <w:rPr>
          <w:rFonts w:ascii="Georgia" w:hAnsi="Georgia"/>
          <w:sz w:val="24"/>
        </w:rPr>
        <w:t xml:space="preserve">for </w:t>
      </w:r>
      <w:r w:rsidRPr="00155900">
        <w:rPr>
          <w:rFonts w:ascii="Georgia" w:hAnsi="Georgia"/>
          <w:sz w:val="24"/>
        </w:rPr>
        <w:t xml:space="preserve">which users – and probably also the Commission – would like </w:t>
      </w:r>
      <w:r>
        <w:rPr>
          <w:rFonts w:ascii="Georgia" w:hAnsi="Georgia"/>
          <w:sz w:val="24"/>
        </w:rPr>
        <w:t>a clarification</w:t>
      </w:r>
      <w:r w:rsidRPr="00155900">
        <w:rPr>
          <w:rFonts w:ascii="Georgia" w:hAnsi="Georgia"/>
          <w:sz w:val="24"/>
        </w:rPr>
        <w:t>. In view of par. 59 and the distin</w:t>
      </w:r>
      <w:r w:rsidRPr="00155900">
        <w:rPr>
          <w:rFonts w:ascii="Georgia" w:hAnsi="Georgia"/>
          <w:sz w:val="24"/>
        </w:rPr>
        <w:t>c</w:t>
      </w:r>
      <w:r w:rsidRPr="00155900">
        <w:rPr>
          <w:rFonts w:ascii="Georgia" w:hAnsi="Georgia"/>
          <w:sz w:val="24"/>
        </w:rPr>
        <w:t>tion between national and international courts in other parts of the Opi</w:t>
      </w:r>
      <w:r w:rsidRPr="00155900">
        <w:rPr>
          <w:rFonts w:ascii="Georgia" w:hAnsi="Georgia"/>
          <w:sz w:val="24"/>
        </w:rPr>
        <w:t>n</w:t>
      </w:r>
      <w:r w:rsidRPr="00155900">
        <w:rPr>
          <w:rFonts w:ascii="Georgia" w:hAnsi="Georgia"/>
          <w:sz w:val="24"/>
        </w:rPr>
        <w:t>ion one may however</w:t>
      </w:r>
      <w:r>
        <w:rPr>
          <w:rFonts w:ascii="Georgia" w:hAnsi="Georgia"/>
          <w:sz w:val="24"/>
        </w:rPr>
        <w:t xml:space="preserve"> assume that the absence of a rejection of this alte</w:t>
      </w:r>
      <w:r>
        <w:rPr>
          <w:rFonts w:ascii="Georgia" w:hAnsi="Georgia"/>
          <w:sz w:val="24"/>
        </w:rPr>
        <w:t>r</w:t>
      </w:r>
      <w:r>
        <w:rPr>
          <w:rFonts w:ascii="Georgia" w:hAnsi="Georgia"/>
          <w:sz w:val="24"/>
        </w:rPr>
        <w:t>native</w:t>
      </w:r>
      <w:r w:rsidRPr="00155900">
        <w:rPr>
          <w:rFonts w:ascii="Georgia" w:hAnsi="Georgia"/>
          <w:sz w:val="24"/>
        </w:rPr>
        <w:t xml:space="preserve"> the recommendation of the AGs </w:t>
      </w:r>
      <w:r>
        <w:rPr>
          <w:rFonts w:ascii="Georgia" w:hAnsi="Georgia"/>
          <w:sz w:val="24"/>
        </w:rPr>
        <w:t>can be followed</w:t>
      </w:r>
      <w:r w:rsidRPr="00155900">
        <w:rPr>
          <w:rFonts w:ascii="Georgia" w:hAnsi="Georgia"/>
          <w:sz w:val="24"/>
        </w:rPr>
        <w:t>.</w:t>
      </w:r>
    </w:p>
    <w:p w:rsidR="00801430" w:rsidRPr="00155900" w:rsidRDefault="00801430" w:rsidP="00864E96">
      <w:pPr>
        <w:spacing w:line="24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 xml:space="preserve"> </w:t>
      </w:r>
      <w:r w:rsidRPr="00155900">
        <w:rPr>
          <w:rFonts w:ascii="Georgia" w:hAnsi="Georgia"/>
          <w:sz w:val="24"/>
        </w:rPr>
        <w:tab/>
      </w:r>
    </w:p>
    <w:p w:rsidR="00801430" w:rsidRPr="002B04F1" w:rsidRDefault="00801430" w:rsidP="00864E96">
      <w:pPr>
        <w:spacing w:line="360" w:lineRule="auto"/>
        <w:ind w:left="1155"/>
        <w:rPr>
          <w:rFonts w:ascii="Georgia" w:hAnsi="Georgia"/>
          <w:b/>
          <w:sz w:val="24"/>
        </w:rPr>
      </w:pPr>
      <w:r w:rsidRPr="002B04F1">
        <w:rPr>
          <w:rFonts w:ascii="Georgia" w:hAnsi="Georgia"/>
          <w:b/>
          <w:sz w:val="24"/>
        </w:rPr>
        <w:t>II. Which amendments could render the Agreement compat</w:t>
      </w:r>
      <w:r w:rsidRPr="002B04F1">
        <w:rPr>
          <w:rFonts w:ascii="Georgia" w:hAnsi="Georgia"/>
          <w:b/>
          <w:sz w:val="24"/>
        </w:rPr>
        <w:t>i</w:t>
      </w:r>
      <w:r w:rsidRPr="002B04F1">
        <w:rPr>
          <w:rFonts w:ascii="Georgia" w:hAnsi="Georgia"/>
          <w:b/>
          <w:sz w:val="24"/>
        </w:rPr>
        <w:t>ble?</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b/>
          <w:i/>
          <w:sz w:val="24"/>
        </w:rPr>
      </w:pPr>
      <w:r w:rsidRPr="00155900">
        <w:rPr>
          <w:rFonts w:ascii="Georgia" w:hAnsi="Georgia"/>
          <w:sz w:val="24"/>
        </w:rPr>
        <w:tab/>
      </w:r>
      <w:r w:rsidRPr="00155900">
        <w:rPr>
          <w:rFonts w:ascii="Georgia" w:hAnsi="Georgia"/>
          <w:b/>
          <w:i/>
          <w:sz w:val="24"/>
        </w:rPr>
        <w:t xml:space="preserve">1. </w:t>
      </w:r>
      <w:r>
        <w:rPr>
          <w:rFonts w:ascii="Georgia" w:hAnsi="Georgia"/>
          <w:b/>
          <w:i/>
          <w:sz w:val="24"/>
        </w:rPr>
        <w:t>“</w:t>
      </w:r>
      <w:r w:rsidRPr="00155900">
        <w:rPr>
          <w:rFonts w:ascii="Georgia" w:hAnsi="Georgia"/>
          <w:b/>
          <w:i/>
          <w:sz w:val="24"/>
        </w:rPr>
        <w:t>Repair</w:t>
      </w:r>
      <w:r>
        <w:rPr>
          <w:rFonts w:ascii="Georgia" w:hAnsi="Georgia"/>
          <w:b/>
          <w:i/>
          <w:sz w:val="24"/>
        </w:rPr>
        <w:t>”</w:t>
      </w:r>
      <w:r w:rsidRPr="00155900">
        <w:rPr>
          <w:rFonts w:ascii="Georgia" w:hAnsi="Georgia"/>
          <w:b/>
          <w:i/>
          <w:sz w:val="24"/>
        </w:rPr>
        <w:t xml:space="preserve"> solution</w:t>
      </w:r>
    </w:p>
    <w:p w:rsidR="00801430" w:rsidRPr="00155900" w:rsidRDefault="00801430" w:rsidP="00864E96">
      <w:pPr>
        <w:spacing w:line="360" w:lineRule="auto"/>
        <w:ind w:left="1155"/>
        <w:rPr>
          <w:rFonts w:ascii="Georgia" w:hAnsi="Georgia"/>
          <w:sz w:val="24"/>
        </w:rPr>
      </w:pPr>
      <w:r w:rsidRPr="00155900">
        <w:rPr>
          <w:rFonts w:ascii="Georgia" w:hAnsi="Georgia"/>
          <w:sz w:val="24"/>
        </w:rPr>
        <w:tab/>
      </w:r>
    </w:p>
    <w:p w:rsidR="00801430" w:rsidRDefault="00801430" w:rsidP="00864E96">
      <w:pPr>
        <w:spacing w:line="360" w:lineRule="auto"/>
        <w:ind w:left="1155"/>
        <w:rPr>
          <w:rFonts w:ascii="Georgia" w:hAnsi="Georgia"/>
          <w:sz w:val="24"/>
        </w:rPr>
      </w:pPr>
      <w:r>
        <w:rPr>
          <w:rFonts w:ascii="Georgia" w:hAnsi="Georgia"/>
          <w:sz w:val="24"/>
        </w:rPr>
        <w:t xml:space="preserve">Some comments which one could hear after the publication of the CJ Opinion suggest that it would be easy to satisfy the requests of the CJ by just “repairing” Art 48 of the Draft Agreement which deals with referrals by the PC to the CJ. </w:t>
      </w:r>
      <w:r w:rsidRPr="00155900">
        <w:rPr>
          <w:rFonts w:ascii="Georgia" w:hAnsi="Georgia"/>
          <w:sz w:val="24"/>
        </w:rPr>
        <w:t xml:space="preserve">The major concern of the </w:t>
      </w:r>
      <w:r>
        <w:rPr>
          <w:rFonts w:ascii="Georgia" w:hAnsi="Georgia"/>
          <w:sz w:val="24"/>
        </w:rPr>
        <w:t>CJ</w:t>
      </w:r>
      <w:r w:rsidRPr="00155900">
        <w:rPr>
          <w:rFonts w:ascii="Georgia" w:hAnsi="Georgia"/>
          <w:sz w:val="24"/>
        </w:rPr>
        <w:t xml:space="preserve"> seems to be the transfer of jurisdiction from the national courts to the PC</w:t>
      </w:r>
      <w:r>
        <w:rPr>
          <w:rFonts w:ascii="Georgia" w:hAnsi="Georgia"/>
          <w:sz w:val="24"/>
        </w:rPr>
        <w:t xml:space="preserve"> and in this context the </w:t>
      </w:r>
      <w:r w:rsidRPr="00155900">
        <w:rPr>
          <w:rFonts w:ascii="Georgia" w:hAnsi="Georgia"/>
          <w:sz w:val="24"/>
        </w:rPr>
        <w:lastRenderedPageBreak/>
        <w:t>lack of legal remedies against member states whose courts violate the EU Treaty by not referring a case to the</w:t>
      </w:r>
      <w:r>
        <w:rPr>
          <w:rFonts w:ascii="Georgia" w:hAnsi="Georgia"/>
          <w:sz w:val="24"/>
        </w:rPr>
        <w:t xml:space="preserve"> </w:t>
      </w:r>
      <w:r w:rsidRPr="00155900">
        <w:rPr>
          <w:rFonts w:ascii="Georgia" w:hAnsi="Georgia"/>
          <w:sz w:val="24"/>
        </w:rPr>
        <w:t>CJ</w:t>
      </w:r>
      <w:r>
        <w:rPr>
          <w:rFonts w:ascii="Georgia" w:hAnsi="Georgia"/>
          <w:sz w:val="24"/>
        </w:rPr>
        <w:t>.</w:t>
      </w:r>
      <w:r w:rsidRPr="00155900">
        <w:rPr>
          <w:rFonts w:ascii="Georgia" w:hAnsi="Georgia"/>
          <w:sz w:val="24"/>
        </w:rPr>
        <w:t xml:space="preserve"> </w:t>
      </w:r>
      <w:r>
        <w:rPr>
          <w:rFonts w:ascii="Georgia" w:hAnsi="Georgia"/>
          <w:sz w:val="24"/>
        </w:rPr>
        <w:t>The CJ speaks of a decisive change in the cooperation between national courts and the CJ</w:t>
      </w:r>
      <w:r w:rsidRPr="00155900">
        <w:rPr>
          <w:rFonts w:ascii="Georgia" w:hAnsi="Georgia"/>
          <w:sz w:val="24"/>
        </w:rPr>
        <w:t>.</w:t>
      </w:r>
    </w:p>
    <w:p w:rsidR="00801430" w:rsidRDefault="00801430" w:rsidP="00864E96">
      <w:pPr>
        <w:spacing w:line="360" w:lineRule="auto"/>
        <w:ind w:left="1155"/>
        <w:rPr>
          <w:rFonts w:ascii="Georgia" w:hAnsi="Georgia"/>
          <w:sz w:val="24"/>
        </w:rPr>
      </w:pPr>
    </w:p>
    <w:p w:rsidR="00801430" w:rsidRPr="00155900" w:rsidRDefault="00801430" w:rsidP="0025766E">
      <w:pPr>
        <w:spacing w:line="360" w:lineRule="auto"/>
        <w:ind w:left="1155"/>
        <w:rPr>
          <w:rFonts w:ascii="Georgia" w:hAnsi="Georgia"/>
          <w:sz w:val="24"/>
        </w:rPr>
      </w:pPr>
      <w:r>
        <w:rPr>
          <w:rFonts w:ascii="Georgia" w:hAnsi="Georgia"/>
          <w:sz w:val="24"/>
        </w:rPr>
        <w:t>Here it must first be mentioned that in patent law such cooperation occurs only in very rare cases, since patent law is not part of the legal order of the EU. Furthermore it is not made clear w</w:t>
      </w:r>
      <w:r w:rsidRPr="00155900">
        <w:rPr>
          <w:rFonts w:ascii="Georgia" w:hAnsi="Georgia"/>
          <w:sz w:val="24"/>
        </w:rPr>
        <w:t xml:space="preserve">hy the </w:t>
      </w:r>
      <w:r>
        <w:rPr>
          <w:rFonts w:ascii="Georgia" w:hAnsi="Georgia"/>
          <w:sz w:val="24"/>
        </w:rPr>
        <w:t>CJ</w:t>
      </w:r>
      <w:r w:rsidRPr="00155900">
        <w:rPr>
          <w:rFonts w:ascii="Georgia" w:hAnsi="Georgia"/>
          <w:sz w:val="24"/>
        </w:rPr>
        <w:t xml:space="preserve"> does not want to accept the judges in the future PC as “interlocutors” in reference proceedings</w:t>
      </w:r>
      <w:r>
        <w:rPr>
          <w:rStyle w:val="Voetnootmarkering"/>
          <w:rFonts w:ascii="Georgia" w:hAnsi="Georgia"/>
          <w:sz w:val="24"/>
        </w:rPr>
        <w:footnoteReference w:id="14"/>
      </w:r>
      <w:r>
        <w:rPr>
          <w:rFonts w:ascii="Georgia" w:hAnsi="Georgia"/>
          <w:sz w:val="24"/>
        </w:rPr>
        <w:t xml:space="preserve"> who</w:t>
      </w:r>
      <w:r w:rsidRPr="00155900">
        <w:rPr>
          <w:rFonts w:ascii="Georgia" w:hAnsi="Georgia"/>
          <w:color w:val="000000"/>
          <w:sz w:val="24"/>
        </w:rPr>
        <w:t xml:space="preserve"> are supposed to be the best European judges in patent law. Since many of them have also dealt with tr</w:t>
      </w:r>
      <w:r>
        <w:rPr>
          <w:rFonts w:ascii="Georgia" w:hAnsi="Georgia"/>
          <w:color w:val="000000"/>
          <w:sz w:val="24"/>
        </w:rPr>
        <w:t>ademark law in their</w:t>
      </w:r>
      <w:r w:rsidRPr="00155900">
        <w:rPr>
          <w:rFonts w:ascii="Georgia" w:hAnsi="Georgia"/>
          <w:color w:val="000000"/>
          <w:sz w:val="24"/>
        </w:rPr>
        <w:t xml:space="preserve"> national courts, they have presumably referred a number of cases to the </w:t>
      </w:r>
      <w:r>
        <w:rPr>
          <w:rFonts w:ascii="Georgia" w:hAnsi="Georgia"/>
          <w:color w:val="000000"/>
          <w:sz w:val="24"/>
        </w:rPr>
        <w:t>CJ</w:t>
      </w:r>
      <w:r w:rsidRPr="00155900">
        <w:rPr>
          <w:rFonts w:ascii="Georgia" w:hAnsi="Georgia"/>
          <w:color w:val="000000"/>
          <w:sz w:val="24"/>
        </w:rPr>
        <w:t xml:space="preserve"> over the years. So it remains a mystery where this lack of trust comes from and why the </w:t>
      </w:r>
      <w:r>
        <w:rPr>
          <w:rFonts w:ascii="Georgia" w:hAnsi="Georgia"/>
          <w:color w:val="000000"/>
          <w:sz w:val="24"/>
        </w:rPr>
        <w:t>CJ</w:t>
      </w:r>
      <w:r w:rsidRPr="00155900">
        <w:rPr>
          <w:rFonts w:ascii="Georgia" w:hAnsi="Georgia"/>
          <w:color w:val="000000"/>
          <w:sz w:val="24"/>
        </w:rPr>
        <w:t xml:space="preserve"> wants to have national courts as its only interlocutor</w:t>
      </w:r>
      <w:r>
        <w:rPr>
          <w:rStyle w:val="Voetnootmarkering"/>
          <w:rFonts w:ascii="Georgia" w:hAnsi="Georgia"/>
          <w:color w:val="000000"/>
          <w:sz w:val="24"/>
        </w:rPr>
        <w:footnoteReference w:id="15"/>
      </w:r>
      <w:r w:rsidRPr="00155900">
        <w:rPr>
          <w:rFonts w:ascii="Georgia" w:hAnsi="Georgia"/>
          <w:color w:val="000000"/>
          <w:sz w:val="24"/>
        </w:rPr>
        <w:t xml:space="preserve">. The explanation cannot be that the </w:t>
      </w:r>
      <w:r>
        <w:rPr>
          <w:rFonts w:ascii="Georgia" w:hAnsi="Georgia"/>
          <w:color w:val="000000"/>
          <w:sz w:val="24"/>
        </w:rPr>
        <w:t>CJ</w:t>
      </w:r>
      <w:r w:rsidRPr="00155900">
        <w:rPr>
          <w:rFonts w:ascii="Georgia" w:hAnsi="Georgia"/>
          <w:color w:val="000000"/>
          <w:sz w:val="24"/>
        </w:rPr>
        <w:t xml:space="preserve"> is waiting eagerly </w:t>
      </w:r>
      <w:r>
        <w:rPr>
          <w:rFonts w:ascii="Georgia" w:hAnsi="Georgia"/>
          <w:color w:val="000000"/>
          <w:sz w:val="24"/>
        </w:rPr>
        <w:t>for</w:t>
      </w:r>
      <w:r w:rsidRPr="00155900">
        <w:rPr>
          <w:rFonts w:ascii="Georgia" w:hAnsi="Georgia"/>
          <w:color w:val="000000"/>
          <w:sz w:val="24"/>
        </w:rPr>
        <w:t xml:space="preserve"> patent cases as part of its </w:t>
      </w:r>
      <w:r w:rsidRPr="00155900">
        <w:rPr>
          <w:rFonts w:ascii="Georgia" w:hAnsi="Georgia"/>
          <w:sz w:val="24"/>
        </w:rPr>
        <w:t>co</w:t>
      </w:r>
      <w:r w:rsidRPr="00155900">
        <w:rPr>
          <w:rFonts w:ascii="Georgia" w:hAnsi="Georgia"/>
          <w:sz w:val="24"/>
        </w:rPr>
        <w:t>m</w:t>
      </w:r>
      <w:r w:rsidRPr="00155900">
        <w:rPr>
          <w:rFonts w:ascii="Georgia" w:hAnsi="Georgia"/>
          <w:sz w:val="24"/>
        </w:rPr>
        <w:t xml:space="preserve">petence, since </w:t>
      </w:r>
      <w:smartTag w:uri="urn:schemas-microsoft-com:office:smarttags" w:element="country-region">
        <w:smartTag w:uri="urn:schemas-microsoft-com:office:smarttags" w:element="place">
          <w:r w:rsidRPr="00155900">
            <w:rPr>
              <w:rFonts w:ascii="Georgia" w:hAnsi="Georgia"/>
              <w:sz w:val="24"/>
            </w:rPr>
            <w:t>Luxembourg</w:t>
          </w:r>
        </w:smartTag>
      </w:smartTag>
      <w:r w:rsidRPr="00155900">
        <w:rPr>
          <w:rFonts w:ascii="Georgia" w:hAnsi="Georgia"/>
          <w:sz w:val="24"/>
        </w:rPr>
        <w:t xml:space="preserve"> is already jammed with Community trademark cases with resulting delays in dealing with them</w:t>
      </w:r>
      <w:r w:rsidRPr="00155900">
        <w:rPr>
          <w:rStyle w:val="Voetnootmarkering"/>
          <w:rFonts w:ascii="Georgia" w:hAnsi="Georgia"/>
          <w:sz w:val="24"/>
        </w:rPr>
        <w:footnoteReference w:id="16"/>
      </w:r>
      <w:r>
        <w:rPr>
          <w:rFonts w:ascii="Georgia" w:hAnsi="Georgia"/>
          <w:sz w:val="24"/>
        </w:rPr>
        <w:t>.</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Whether a sufficient remedy for this obstacle of compatibility could be a “repa</w:t>
      </w:r>
      <w:r>
        <w:rPr>
          <w:rFonts w:ascii="Georgia" w:hAnsi="Georgia"/>
          <w:sz w:val="24"/>
        </w:rPr>
        <w:t xml:space="preserve">ir” by way of including into Art. 48 of the Draft </w:t>
      </w:r>
      <w:r w:rsidRPr="00155900">
        <w:rPr>
          <w:rFonts w:ascii="Georgia" w:hAnsi="Georgia"/>
          <w:sz w:val="24"/>
        </w:rPr>
        <w:t xml:space="preserve">a direct control </w:t>
      </w:r>
      <w:r>
        <w:rPr>
          <w:rFonts w:ascii="Georgia" w:hAnsi="Georgia"/>
          <w:sz w:val="24"/>
        </w:rPr>
        <w:t>of p</w:t>
      </w:r>
      <w:r>
        <w:rPr>
          <w:rFonts w:ascii="Georgia" w:hAnsi="Georgia"/>
          <w:sz w:val="24"/>
        </w:rPr>
        <w:t>a</w:t>
      </w:r>
      <w:r>
        <w:rPr>
          <w:rFonts w:ascii="Georgia" w:hAnsi="Georgia"/>
          <w:sz w:val="24"/>
        </w:rPr>
        <w:t xml:space="preserve">tent litigation </w:t>
      </w:r>
      <w:r w:rsidRPr="00155900">
        <w:rPr>
          <w:rFonts w:ascii="Georgia" w:hAnsi="Georgia"/>
          <w:sz w:val="24"/>
        </w:rPr>
        <w:t xml:space="preserve">by the </w:t>
      </w:r>
      <w:r>
        <w:rPr>
          <w:rFonts w:ascii="Georgia" w:hAnsi="Georgia"/>
          <w:sz w:val="24"/>
        </w:rPr>
        <w:t>CJ</w:t>
      </w:r>
      <w:r w:rsidRPr="00155900">
        <w:rPr>
          <w:rFonts w:ascii="Georgia" w:hAnsi="Georgia"/>
          <w:sz w:val="24"/>
        </w:rPr>
        <w:t xml:space="preserve"> and the possibility to raise damage claims if the referral rules have been vio</w:t>
      </w:r>
      <w:r>
        <w:rPr>
          <w:rFonts w:ascii="Georgia" w:hAnsi="Georgia"/>
          <w:sz w:val="24"/>
        </w:rPr>
        <w:t>lated by the court is doubtful. I</w:t>
      </w:r>
      <w:r w:rsidRPr="00155900">
        <w:rPr>
          <w:rFonts w:ascii="Georgia" w:hAnsi="Georgia"/>
          <w:sz w:val="24"/>
        </w:rPr>
        <w:t xml:space="preserve">f one </w:t>
      </w:r>
      <w:r>
        <w:rPr>
          <w:rFonts w:ascii="Georgia" w:hAnsi="Georgia"/>
          <w:sz w:val="24"/>
        </w:rPr>
        <w:t xml:space="preserve">takes </w:t>
      </w:r>
      <w:r w:rsidRPr="00155900">
        <w:rPr>
          <w:rFonts w:ascii="Georgia" w:hAnsi="Georgia"/>
          <w:sz w:val="24"/>
        </w:rPr>
        <w:t xml:space="preserve">par. 79 </w:t>
      </w:r>
      <w:r>
        <w:rPr>
          <w:rFonts w:ascii="Georgia" w:hAnsi="Georgia"/>
          <w:sz w:val="24"/>
        </w:rPr>
        <w:t xml:space="preserve">with the request for a proper “interlocutor” serious, </w:t>
      </w:r>
      <w:r w:rsidRPr="00155900">
        <w:rPr>
          <w:rFonts w:ascii="Georgia" w:hAnsi="Georgia"/>
          <w:sz w:val="24"/>
        </w:rPr>
        <w:t>courts</w:t>
      </w:r>
      <w:r>
        <w:rPr>
          <w:rFonts w:ascii="Georgia" w:hAnsi="Georgia"/>
          <w:sz w:val="24"/>
        </w:rPr>
        <w:t xml:space="preserve"> or divisions sitting</w:t>
      </w:r>
      <w:r w:rsidRPr="00155900">
        <w:rPr>
          <w:rFonts w:ascii="Georgia" w:hAnsi="Georgia"/>
          <w:sz w:val="24"/>
        </w:rPr>
        <w:t xml:space="preserve"> outside the EU would be excluded as counterparts so that the PC for Unitary patents must in fact consist only of divisions of the EU member states.</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lastRenderedPageBreak/>
        <w:t>This conclusion is strengthened by par. 83 from which one can derive the request to leave patent law entirely with the national courts which would be the only ones</w:t>
      </w:r>
    </w:p>
    <w:p w:rsidR="00801430" w:rsidRPr="00D946B9" w:rsidRDefault="00801430" w:rsidP="00490966">
      <w:pPr>
        <w:pStyle w:val="bStandard15"/>
        <w:spacing w:line="240" w:lineRule="auto"/>
        <w:ind w:left="1470"/>
        <w:rPr>
          <w:i/>
          <w:sz w:val="20"/>
          <w:szCs w:val="20"/>
          <w:lang w:val="en-GB"/>
        </w:rPr>
      </w:pPr>
      <w:r w:rsidRPr="00D946B9">
        <w:rPr>
          <w:i/>
          <w:sz w:val="20"/>
          <w:szCs w:val="20"/>
          <w:lang w:val="en-GB"/>
        </w:rPr>
        <w:t>… to give European Union law its full effect within the framework of the judicial sy</w:t>
      </w:r>
      <w:r w:rsidRPr="00D946B9">
        <w:rPr>
          <w:i/>
          <w:sz w:val="20"/>
          <w:szCs w:val="20"/>
          <w:lang w:val="en-GB"/>
        </w:rPr>
        <w:t>s</w:t>
      </w:r>
      <w:r w:rsidRPr="00D946B9">
        <w:rPr>
          <w:i/>
          <w:sz w:val="20"/>
          <w:szCs w:val="20"/>
          <w:lang w:val="en-GB"/>
        </w:rPr>
        <w:t xml:space="preserve">tems of the Member States. Further, the </w:t>
      </w:r>
      <w:r w:rsidRPr="00D946B9">
        <w:rPr>
          <w:i/>
          <w:sz w:val="20"/>
          <w:szCs w:val="20"/>
          <w:u w:val="single"/>
          <w:lang w:val="en-GB"/>
        </w:rPr>
        <w:t>national courts</w:t>
      </w:r>
      <w:r w:rsidRPr="00D946B9">
        <w:rPr>
          <w:i/>
          <w:sz w:val="20"/>
          <w:szCs w:val="20"/>
          <w:lang w:val="en-GB"/>
        </w:rPr>
        <w:t xml:space="preserve"> have the most extensive power, or even the obligation, to make a reference to the Court …</w:t>
      </w:r>
    </w:p>
    <w:p w:rsidR="00801430" w:rsidRPr="00155900" w:rsidRDefault="00801430" w:rsidP="00864E96">
      <w:pPr>
        <w:spacing w:line="240" w:lineRule="auto"/>
        <w:ind w:left="1155"/>
        <w:rPr>
          <w:rFonts w:ascii="Georgia" w:hAnsi="Georgia"/>
          <w:sz w:val="24"/>
        </w:rPr>
      </w:pPr>
      <w:r w:rsidRPr="00D946B9">
        <w:rPr>
          <w:rFonts w:ascii="Georgia" w:hAnsi="Georgia"/>
          <w:i/>
          <w:sz w:val="20"/>
          <w:szCs w:val="20"/>
        </w:rPr>
        <w:t xml:space="preserve"> </w:t>
      </w:r>
    </w:p>
    <w:p w:rsidR="00801430" w:rsidRPr="00155900" w:rsidRDefault="00801430" w:rsidP="00864E96">
      <w:pPr>
        <w:spacing w:line="360" w:lineRule="auto"/>
        <w:ind w:left="1155"/>
        <w:rPr>
          <w:rFonts w:ascii="Georgia" w:hAnsi="Georgia"/>
          <w:sz w:val="24"/>
        </w:rPr>
      </w:pPr>
      <w:r w:rsidRPr="00155900">
        <w:rPr>
          <w:rFonts w:ascii="Georgia" w:hAnsi="Georgia"/>
          <w:sz w:val="24"/>
        </w:rPr>
        <w:t>Those involved in the negotiations of the text of the Agreement know very well that an amendment which would lead to more competence and i</w:t>
      </w:r>
      <w:r w:rsidRPr="00155900">
        <w:rPr>
          <w:rFonts w:ascii="Georgia" w:hAnsi="Georgia"/>
          <w:sz w:val="24"/>
        </w:rPr>
        <w:t>n</w:t>
      </w:r>
      <w:r w:rsidRPr="00155900">
        <w:rPr>
          <w:rFonts w:ascii="Georgia" w:hAnsi="Georgia"/>
          <w:sz w:val="24"/>
        </w:rPr>
        <w:t xml:space="preserve">volvement of the </w:t>
      </w:r>
      <w:r>
        <w:rPr>
          <w:rFonts w:ascii="Georgia" w:hAnsi="Georgia"/>
          <w:sz w:val="24"/>
        </w:rPr>
        <w:t>CJ</w:t>
      </w:r>
      <w:r w:rsidRPr="00155900">
        <w:rPr>
          <w:rFonts w:ascii="Georgia" w:hAnsi="Georgia"/>
          <w:sz w:val="24"/>
        </w:rPr>
        <w:t xml:space="preserve"> in patent litigation had been vehemently rejected by virtually all user groups and was finally also refused by the Commission as an impediment to an efficient and attractive patent litigation system. U</w:t>
      </w:r>
      <w:r w:rsidRPr="00155900">
        <w:rPr>
          <w:rFonts w:ascii="Georgia" w:hAnsi="Georgia"/>
          <w:sz w:val="24"/>
        </w:rPr>
        <w:t>s</w:t>
      </w:r>
      <w:r w:rsidRPr="00155900">
        <w:rPr>
          <w:rFonts w:ascii="Georgia" w:hAnsi="Georgia"/>
          <w:sz w:val="24"/>
        </w:rPr>
        <w:t>ers and specialized patent judges were all of the opinion that any modific</w:t>
      </w:r>
      <w:r w:rsidRPr="00155900">
        <w:rPr>
          <w:rFonts w:ascii="Georgia" w:hAnsi="Georgia"/>
          <w:sz w:val="24"/>
        </w:rPr>
        <w:t>a</w:t>
      </w:r>
      <w:r w:rsidRPr="00155900">
        <w:rPr>
          <w:rFonts w:ascii="Georgia" w:hAnsi="Georgia"/>
          <w:sz w:val="24"/>
        </w:rPr>
        <w:t xml:space="preserve">tion in this context would be regarded as a “deal breaker”. The repeated mention of “close cooperation” between national courts and the </w:t>
      </w:r>
      <w:r>
        <w:rPr>
          <w:rFonts w:ascii="Georgia" w:hAnsi="Georgia"/>
          <w:sz w:val="24"/>
        </w:rPr>
        <w:t>CJ</w:t>
      </w:r>
      <w:r w:rsidRPr="00155900">
        <w:rPr>
          <w:rFonts w:ascii="Georgia" w:hAnsi="Georgia"/>
          <w:sz w:val="24"/>
        </w:rPr>
        <w:t xml:space="preserve"> howe</w:t>
      </w:r>
      <w:r w:rsidRPr="00155900">
        <w:rPr>
          <w:rFonts w:ascii="Georgia" w:hAnsi="Georgia"/>
          <w:sz w:val="24"/>
        </w:rPr>
        <w:t>v</w:t>
      </w:r>
      <w:r w:rsidRPr="00155900">
        <w:rPr>
          <w:rFonts w:ascii="Georgia" w:hAnsi="Georgia"/>
          <w:sz w:val="24"/>
        </w:rPr>
        <w:t>er makes it apparent that the Court wishes a tight control of the functio</w:t>
      </w:r>
      <w:r w:rsidRPr="00155900">
        <w:rPr>
          <w:rFonts w:ascii="Georgia" w:hAnsi="Georgia"/>
          <w:sz w:val="24"/>
        </w:rPr>
        <w:t>n</w:t>
      </w:r>
      <w:r w:rsidRPr="00155900">
        <w:rPr>
          <w:rFonts w:ascii="Georgia" w:hAnsi="Georgia"/>
          <w:sz w:val="24"/>
        </w:rPr>
        <w:t>ing of the patent court system - or nothing</w:t>
      </w:r>
      <w:r w:rsidRPr="00155900">
        <w:rPr>
          <w:rStyle w:val="Voetnootmarkering"/>
          <w:rFonts w:ascii="Georgia" w:hAnsi="Georgia"/>
          <w:sz w:val="24"/>
        </w:rPr>
        <w:footnoteReference w:id="17"/>
      </w:r>
      <w:r w:rsidRPr="00155900">
        <w:rPr>
          <w:rFonts w:ascii="Georgia" w:hAnsi="Georgia"/>
          <w:sz w:val="24"/>
        </w:rPr>
        <w:t xml:space="preserve">. </w:t>
      </w:r>
    </w:p>
    <w:p w:rsidR="00801430" w:rsidRPr="00155900" w:rsidRDefault="00801430" w:rsidP="00864E96">
      <w:pPr>
        <w:spacing w:line="36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The procedure in case of an alleged violation of the Treaty is found in Art. 258 to</w:t>
      </w:r>
      <w:r>
        <w:rPr>
          <w:rFonts w:ascii="Georgia" w:hAnsi="Georgia"/>
          <w:sz w:val="24"/>
        </w:rPr>
        <w:t xml:space="preserve"> </w:t>
      </w:r>
      <w:r w:rsidRPr="00155900">
        <w:rPr>
          <w:rFonts w:ascii="Georgia" w:hAnsi="Georgia"/>
          <w:sz w:val="24"/>
        </w:rPr>
        <w:t xml:space="preserve">260 TFEU. The Commission as well as member states can bring another member state before the </w:t>
      </w:r>
      <w:r>
        <w:rPr>
          <w:rFonts w:ascii="Georgia" w:hAnsi="Georgia"/>
          <w:sz w:val="24"/>
        </w:rPr>
        <w:t>CJ</w:t>
      </w:r>
      <w:r w:rsidRPr="00155900">
        <w:rPr>
          <w:rFonts w:ascii="Georgia" w:hAnsi="Georgia"/>
          <w:sz w:val="24"/>
        </w:rPr>
        <w:t xml:space="preserve"> </w:t>
      </w:r>
      <w:r>
        <w:rPr>
          <w:rFonts w:ascii="Georgia" w:hAnsi="Georgia"/>
          <w:sz w:val="24"/>
        </w:rPr>
        <w:t xml:space="preserve">which, </w:t>
      </w:r>
      <w:r w:rsidRPr="00155900">
        <w:rPr>
          <w:rFonts w:ascii="Georgia" w:hAnsi="Georgia"/>
          <w:sz w:val="24"/>
        </w:rPr>
        <w:t>as the Court probably fears</w:t>
      </w:r>
      <w:r>
        <w:rPr>
          <w:rFonts w:ascii="Georgia" w:hAnsi="Georgia"/>
          <w:sz w:val="24"/>
        </w:rPr>
        <w:t>,</w:t>
      </w:r>
      <w:r w:rsidRPr="00155900">
        <w:rPr>
          <w:rFonts w:ascii="Georgia" w:hAnsi="Georgia"/>
          <w:sz w:val="24"/>
        </w:rPr>
        <w:t xml:space="preserve"> would not be possible, if the responsible country is not a member of the EU</w:t>
      </w:r>
      <w:r>
        <w:rPr>
          <w:rStyle w:val="Voetnootmarkering"/>
          <w:rFonts w:ascii="Georgia" w:hAnsi="Georgia"/>
          <w:sz w:val="24"/>
        </w:rPr>
        <w:footnoteReference w:id="18"/>
      </w:r>
      <w:r w:rsidRPr="00155900">
        <w:rPr>
          <w:rFonts w:ascii="Georgia" w:hAnsi="Georgia"/>
          <w:sz w:val="24"/>
        </w:rPr>
        <w:t>. It is not understandable in view of th</w:t>
      </w:r>
      <w:r>
        <w:rPr>
          <w:rFonts w:ascii="Georgia" w:hAnsi="Georgia"/>
          <w:sz w:val="24"/>
        </w:rPr>
        <w:t xml:space="preserve">e fact that there have been no </w:t>
      </w:r>
      <w:r w:rsidRPr="00155900">
        <w:rPr>
          <w:rFonts w:ascii="Georgia" w:hAnsi="Georgia"/>
          <w:sz w:val="24"/>
        </w:rPr>
        <w:t>more than a handful of cases under these rules</w:t>
      </w:r>
      <w:r>
        <w:rPr>
          <w:rFonts w:ascii="Georgia" w:hAnsi="Georgia"/>
          <w:sz w:val="24"/>
        </w:rPr>
        <w:t>, which cases were even outside the field of patent law</w:t>
      </w:r>
      <w:r w:rsidRPr="00155900">
        <w:rPr>
          <w:rFonts w:ascii="Georgia" w:hAnsi="Georgia"/>
          <w:sz w:val="24"/>
        </w:rPr>
        <w:t xml:space="preserve"> and </w:t>
      </w:r>
      <w:r>
        <w:rPr>
          <w:rFonts w:ascii="Georgia" w:hAnsi="Georgia"/>
          <w:sz w:val="24"/>
        </w:rPr>
        <w:t>of which there were none</w:t>
      </w:r>
      <w:r w:rsidRPr="00155900">
        <w:rPr>
          <w:rFonts w:ascii="Georgia" w:hAnsi="Georgia"/>
          <w:sz w:val="24"/>
        </w:rPr>
        <w:t xml:space="preserve"> with damage claims, why the Court insists so vigorously on an amendment of the refe</w:t>
      </w:r>
      <w:r w:rsidRPr="00155900">
        <w:rPr>
          <w:rFonts w:ascii="Georgia" w:hAnsi="Georgia"/>
          <w:sz w:val="24"/>
        </w:rPr>
        <w:t>r</w:t>
      </w:r>
      <w:r w:rsidRPr="00155900">
        <w:rPr>
          <w:rFonts w:ascii="Georgia" w:hAnsi="Georgia"/>
          <w:sz w:val="24"/>
        </w:rPr>
        <w:t xml:space="preserve">ral provision. </w:t>
      </w:r>
      <w:r>
        <w:rPr>
          <w:rFonts w:ascii="Georgia" w:hAnsi="Georgia"/>
          <w:sz w:val="24"/>
        </w:rPr>
        <w:t>Opposite</w:t>
      </w:r>
      <w:r w:rsidRPr="00155900">
        <w:rPr>
          <w:rFonts w:ascii="Georgia" w:hAnsi="Georgia"/>
          <w:sz w:val="24"/>
        </w:rPr>
        <w:t xml:space="preserve"> to this requirement stand the strong wishes of the users for specialized judges who</w:t>
      </w:r>
      <w:r>
        <w:rPr>
          <w:rFonts w:ascii="Georgia" w:hAnsi="Georgia"/>
          <w:sz w:val="24"/>
        </w:rPr>
        <w:t xml:space="preserve"> can promise and ensure the</w:t>
      </w:r>
      <w:r w:rsidRPr="00155900">
        <w:rPr>
          <w:rFonts w:ascii="Georgia" w:hAnsi="Georgia"/>
          <w:sz w:val="24"/>
        </w:rPr>
        <w:t xml:space="preserve"> high quality </w:t>
      </w:r>
      <w:r>
        <w:rPr>
          <w:rFonts w:ascii="Georgia" w:hAnsi="Georgia"/>
          <w:sz w:val="24"/>
        </w:rPr>
        <w:t>of patent decisions which the parties in patent cases</w:t>
      </w:r>
      <w:r w:rsidRPr="00155900">
        <w:rPr>
          <w:rFonts w:ascii="Georgia" w:hAnsi="Georgia"/>
          <w:sz w:val="24"/>
        </w:rPr>
        <w:t xml:space="preserve"> </w:t>
      </w:r>
      <w:r>
        <w:rPr>
          <w:rFonts w:ascii="Georgia" w:hAnsi="Georgia"/>
          <w:sz w:val="24"/>
        </w:rPr>
        <w:t xml:space="preserve">expect and </w:t>
      </w:r>
      <w:r w:rsidRPr="00155900">
        <w:rPr>
          <w:rFonts w:ascii="Georgia" w:hAnsi="Georgia"/>
          <w:sz w:val="24"/>
        </w:rPr>
        <w:t xml:space="preserve">request. </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 xml:space="preserve">It cannot be overlooked that </w:t>
      </w:r>
      <w:r>
        <w:rPr>
          <w:rFonts w:ascii="Georgia" w:hAnsi="Georgia"/>
          <w:sz w:val="24"/>
        </w:rPr>
        <w:t>a modification</w:t>
      </w:r>
      <w:r w:rsidRPr="00155900">
        <w:rPr>
          <w:rFonts w:ascii="Georgia" w:hAnsi="Georgia"/>
          <w:sz w:val="24"/>
        </w:rPr>
        <w:t xml:space="preserve"> of Art. 48(1) of the Draft by way of “repair” would clearly go beyond the role of the </w:t>
      </w:r>
      <w:r>
        <w:rPr>
          <w:rFonts w:ascii="Georgia" w:hAnsi="Georgia"/>
          <w:sz w:val="24"/>
        </w:rPr>
        <w:t>CJ</w:t>
      </w:r>
      <w:r w:rsidRPr="00155900">
        <w:rPr>
          <w:rFonts w:ascii="Georgia" w:hAnsi="Georgia"/>
          <w:sz w:val="24"/>
        </w:rPr>
        <w:t xml:space="preserve"> as it is now </w:t>
      </w:r>
      <w:r w:rsidRPr="00155900">
        <w:rPr>
          <w:rFonts w:ascii="Georgia" w:hAnsi="Georgia"/>
          <w:sz w:val="24"/>
        </w:rPr>
        <w:lastRenderedPageBreak/>
        <w:t xml:space="preserve">spelled out there. It would deprive the Court of Appeal </w:t>
      </w:r>
      <w:r>
        <w:rPr>
          <w:rFonts w:ascii="Georgia" w:hAnsi="Georgia"/>
          <w:sz w:val="24"/>
        </w:rPr>
        <w:t xml:space="preserve">of </w:t>
      </w:r>
      <w:r w:rsidRPr="00155900">
        <w:rPr>
          <w:rFonts w:ascii="Georgia" w:hAnsi="Georgia"/>
          <w:sz w:val="24"/>
        </w:rPr>
        <w:t>the right of a</w:t>
      </w:r>
      <w:r w:rsidRPr="00155900">
        <w:rPr>
          <w:rFonts w:ascii="Georgia" w:hAnsi="Georgia"/>
          <w:sz w:val="24"/>
        </w:rPr>
        <w:t>p</w:t>
      </w:r>
      <w:r w:rsidRPr="00155900">
        <w:rPr>
          <w:rFonts w:ascii="Georgia" w:hAnsi="Georgia"/>
          <w:sz w:val="24"/>
        </w:rPr>
        <w:t>plying its own discretion when deciding on a referral</w:t>
      </w:r>
      <w:r w:rsidRPr="00155900">
        <w:rPr>
          <w:rStyle w:val="Voetnootmarkering"/>
          <w:rFonts w:ascii="Georgia" w:hAnsi="Georgia"/>
          <w:sz w:val="24"/>
        </w:rPr>
        <w:footnoteReference w:id="19"/>
      </w:r>
      <w:r>
        <w:rPr>
          <w:rFonts w:ascii="Georgia" w:hAnsi="Georgia"/>
          <w:sz w:val="24"/>
        </w:rPr>
        <w:t>. In fact it would mean that</w:t>
      </w:r>
      <w:r w:rsidRPr="00155900">
        <w:rPr>
          <w:rFonts w:ascii="Georgia" w:hAnsi="Georgia"/>
          <w:sz w:val="24"/>
        </w:rPr>
        <w:t xml:space="preserve"> full control by the </w:t>
      </w:r>
      <w:r>
        <w:rPr>
          <w:rFonts w:ascii="Georgia" w:hAnsi="Georgia"/>
          <w:sz w:val="24"/>
        </w:rPr>
        <w:t>CJ</w:t>
      </w:r>
      <w:r w:rsidRPr="00155900">
        <w:rPr>
          <w:rFonts w:ascii="Georgia" w:hAnsi="Georgia"/>
          <w:sz w:val="24"/>
        </w:rPr>
        <w:t xml:space="preserve"> over the practice of the PC would be inst</w:t>
      </w:r>
      <w:r w:rsidRPr="00155900">
        <w:rPr>
          <w:rFonts w:ascii="Georgia" w:hAnsi="Georgia"/>
          <w:sz w:val="24"/>
        </w:rPr>
        <w:t>i</w:t>
      </w:r>
      <w:r w:rsidRPr="00155900">
        <w:rPr>
          <w:rFonts w:ascii="Georgia" w:hAnsi="Georgia"/>
          <w:sz w:val="24"/>
        </w:rPr>
        <w:t xml:space="preserve">tutionalized, since the </w:t>
      </w:r>
      <w:r>
        <w:rPr>
          <w:rFonts w:ascii="Georgia" w:hAnsi="Georgia"/>
          <w:sz w:val="24"/>
        </w:rPr>
        <w:t>CJ</w:t>
      </w:r>
      <w:r w:rsidRPr="00155900">
        <w:rPr>
          <w:rFonts w:ascii="Georgia" w:hAnsi="Georgia"/>
          <w:sz w:val="24"/>
        </w:rPr>
        <w:t xml:space="preserve"> could challenge in its own right the non-compliance of the PC Court of Appeal with respect to the referral rules and the proper application of the EU legal order to substantive patent law as will be discussed below.</w:t>
      </w:r>
      <w:r w:rsidRPr="00155900">
        <w:rPr>
          <w:rFonts w:ascii="Georgia" w:hAnsi="Georgia"/>
          <w:sz w:val="24"/>
        </w:rPr>
        <w:tab/>
      </w:r>
    </w:p>
    <w:p w:rsidR="00801430" w:rsidRPr="00155900" w:rsidRDefault="00801430" w:rsidP="00864E96">
      <w:pPr>
        <w:spacing w:line="36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When one summarizes the above result on reaches the conclusion that the “repair solution” would require:</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240" w:lineRule="auto"/>
        <w:ind w:left="1155"/>
        <w:rPr>
          <w:rFonts w:ascii="Georgia" w:hAnsi="Georgia"/>
          <w:sz w:val="24"/>
        </w:rPr>
      </w:pPr>
      <w:r w:rsidRPr="00155900">
        <w:rPr>
          <w:rFonts w:ascii="Georgia" w:hAnsi="Georgia"/>
          <w:sz w:val="24"/>
        </w:rPr>
        <w:tab/>
        <w:t xml:space="preserve">a) restricting the membership of the Agreement to EU Member States </w:t>
      </w:r>
      <w:r w:rsidRPr="00155900">
        <w:rPr>
          <w:rFonts w:ascii="Georgia" w:hAnsi="Georgia"/>
          <w:sz w:val="24"/>
        </w:rPr>
        <w:tab/>
        <w:t>willing to participate in the Enhanced Cooperation on the Unitary Pat</w:t>
      </w:r>
      <w:r>
        <w:rPr>
          <w:rFonts w:ascii="Georgia" w:hAnsi="Georgia"/>
          <w:sz w:val="24"/>
        </w:rPr>
        <w:t>-</w:t>
      </w:r>
      <w:r>
        <w:rPr>
          <w:rFonts w:ascii="Georgia" w:hAnsi="Georgia"/>
          <w:sz w:val="24"/>
        </w:rPr>
        <w:tab/>
      </w:r>
      <w:r w:rsidRPr="00155900">
        <w:rPr>
          <w:rFonts w:ascii="Georgia" w:hAnsi="Georgia"/>
          <w:sz w:val="24"/>
        </w:rPr>
        <w:t>ent</w:t>
      </w:r>
      <w:r w:rsidRPr="00155900">
        <w:rPr>
          <w:rStyle w:val="Voetnootmarkering"/>
          <w:rFonts w:ascii="Georgia" w:hAnsi="Georgia"/>
          <w:sz w:val="24"/>
        </w:rPr>
        <w:footnoteReference w:id="20"/>
      </w:r>
    </w:p>
    <w:p w:rsidR="00801430" w:rsidRPr="00155900" w:rsidRDefault="00801430" w:rsidP="00864E96">
      <w:pPr>
        <w:spacing w:line="240" w:lineRule="auto"/>
        <w:ind w:left="1155"/>
        <w:rPr>
          <w:rFonts w:ascii="Georgia" w:hAnsi="Georgia"/>
          <w:sz w:val="24"/>
        </w:rPr>
      </w:pPr>
      <w:r w:rsidRPr="00155900">
        <w:rPr>
          <w:rFonts w:ascii="Georgia" w:hAnsi="Georgia"/>
          <w:sz w:val="24"/>
        </w:rPr>
        <w:tab/>
      </w:r>
    </w:p>
    <w:p w:rsidR="00801430" w:rsidRDefault="00801430" w:rsidP="006E22ED">
      <w:pPr>
        <w:spacing w:line="240" w:lineRule="auto"/>
        <w:ind w:left="1440"/>
        <w:rPr>
          <w:rFonts w:ascii="Georgia" w:hAnsi="Georgia"/>
          <w:sz w:val="24"/>
        </w:rPr>
      </w:pPr>
      <w:r w:rsidRPr="00155900">
        <w:rPr>
          <w:rFonts w:ascii="Georgia" w:hAnsi="Georgia"/>
          <w:sz w:val="24"/>
        </w:rPr>
        <w:t>b) incorporating the missing "sanctions" into Art.</w:t>
      </w:r>
      <w:r>
        <w:rPr>
          <w:rFonts w:ascii="Georgia" w:hAnsi="Georgia"/>
          <w:sz w:val="24"/>
        </w:rPr>
        <w:t xml:space="preserve"> 48 </w:t>
      </w:r>
      <w:r w:rsidRPr="00155900">
        <w:rPr>
          <w:rFonts w:ascii="Georgia" w:hAnsi="Georgia"/>
          <w:sz w:val="24"/>
        </w:rPr>
        <w:t xml:space="preserve">of the Draft Agreement against an illegitimate non-referral by the PC. </w:t>
      </w:r>
    </w:p>
    <w:p w:rsidR="00801430" w:rsidRDefault="00801430" w:rsidP="006E22ED">
      <w:pPr>
        <w:spacing w:line="240" w:lineRule="auto"/>
        <w:ind w:left="1440"/>
        <w:rPr>
          <w:rFonts w:ascii="Georgia" w:hAnsi="Georgia"/>
          <w:sz w:val="24"/>
        </w:rPr>
      </w:pPr>
    </w:p>
    <w:p w:rsidR="00801430" w:rsidRPr="00155900" w:rsidRDefault="00801430" w:rsidP="00C96130">
      <w:pPr>
        <w:spacing w:line="240" w:lineRule="auto"/>
        <w:ind w:left="1470"/>
        <w:rPr>
          <w:rFonts w:ascii="Georgia" w:hAnsi="Georgia"/>
          <w:sz w:val="24"/>
        </w:rPr>
      </w:pPr>
      <w:r>
        <w:rPr>
          <w:rFonts w:ascii="Georgia" w:hAnsi="Georgia"/>
          <w:sz w:val="24"/>
        </w:rPr>
        <w:t xml:space="preserve">c) restricting the competence of the </w:t>
      </w:r>
      <w:r w:rsidRPr="00155900">
        <w:rPr>
          <w:rFonts w:ascii="Georgia" w:hAnsi="Georgia"/>
          <w:sz w:val="24"/>
        </w:rPr>
        <w:t xml:space="preserve">PC </w:t>
      </w:r>
      <w:r>
        <w:rPr>
          <w:rFonts w:ascii="Georgia" w:hAnsi="Georgia"/>
          <w:sz w:val="24"/>
        </w:rPr>
        <w:t>or the local divisions to the interpretation of the Agreement and leaving all other questions to the (normal) national courts</w:t>
      </w:r>
      <w:r w:rsidRPr="00155900">
        <w:rPr>
          <w:rFonts w:ascii="Georgia" w:hAnsi="Georgia"/>
          <w:sz w:val="24"/>
        </w:rPr>
        <w:t>.</w:t>
      </w:r>
    </w:p>
    <w:p w:rsidR="00801430" w:rsidRPr="00155900" w:rsidRDefault="00801430" w:rsidP="006E22ED">
      <w:pPr>
        <w:spacing w:line="240" w:lineRule="auto"/>
        <w:ind w:left="1440"/>
        <w:rPr>
          <w:rFonts w:ascii="Georgia" w:hAnsi="Georgia"/>
          <w:sz w:val="24"/>
        </w:rPr>
      </w:pPr>
    </w:p>
    <w:p w:rsidR="00801430" w:rsidRPr="00155900" w:rsidRDefault="00801430" w:rsidP="00864E96">
      <w:pPr>
        <w:spacing w:line="24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 xml:space="preserve">Independent of the additional time and cost of proceedings which may result there from, this is </w:t>
      </w:r>
      <w:r>
        <w:rPr>
          <w:rFonts w:ascii="Georgia" w:hAnsi="Georgia"/>
          <w:sz w:val="24"/>
        </w:rPr>
        <w:t xml:space="preserve">evidently </w:t>
      </w:r>
      <w:r w:rsidRPr="00155900">
        <w:rPr>
          <w:rFonts w:ascii="Georgia" w:hAnsi="Georgia"/>
          <w:sz w:val="24"/>
        </w:rPr>
        <w:t>not a</w:t>
      </w:r>
      <w:r>
        <w:rPr>
          <w:rFonts w:ascii="Georgia" w:hAnsi="Georgia"/>
          <w:sz w:val="24"/>
        </w:rPr>
        <w:t xml:space="preserve"> matter of easy repair, since it will need an entirely new approach in the negotiations and a re-writing of the present Draft. One must be very sceptical that one would reach a solution soon which would</w:t>
      </w:r>
      <w:r w:rsidRPr="00155900">
        <w:rPr>
          <w:rFonts w:ascii="Georgia" w:hAnsi="Georgia"/>
          <w:sz w:val="24"/>
        </w:rPr>
        <w:t xml:space="preserve"> be acceptable for the users.</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b/>
          <w:i/>
          <w:sz w:val="24"/>
        </w:rPr>
      </w:pPr>
      <w:r w:rsidRPr="00155900">
        <w:rPr>
          <w:rFonts w:ascii="Georgia" w:hAnsi="Georgia"/>
          <w:b/>
          <w:i/>
          <w:sz w:val="24"/>
        </w:rPr>
        <w:tab/>
        <w:t xml:space="preserve">2. The CTM and </w:t>
      </w:r>
      <w:r>
        <w:rPr>
          <w:rFonts w:ascii="Georgia" w:hAnsi="Georgia"/>
          <w:b/>
          <w:i/>
          <w:sz w:val="24"/>
        </w:rPr>
        <w:t xml:space="preserve">/ </w:t>
      </w:r>
      <w:r w:rsidRPr="00155900">
        <w:rPr>
          <w:rFonts w:ascii="Georgia" w:hAnsi="Georgia"/>
          <w:b/>
          <w:i/>
          <w:sz w:val="24"/>
        </w:rPr>
        <w:t>or Benelux solution.</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 xml:space="preserve">Another </w:t>
      </w:r>
      <w:r>
        <w:rPr>
          <w:rFonts w:ascii="Georgia" w:hAnsi="Georgia"/>
          <w:sz w:val="24"/>
        </w:rPr>
        <w:t xml:space="preserve">solution, </w:t>
      </w:r>
      <w:r w:rsidRPr="00155900">
        <w:rPr>
          <w:rFonts w:ascii="Georgia" w:hAnsi="Georgia"/>
          <w:sz w:val="24"/>
        </w:rPr>
        <w:t xml:space="preserve">instead of an amendment of Art. 48 of the Draft Agreement and a direct involvement of the </w:t>
      </w:r>
      <w:r>
        <w:rPr>
          <w:rFonts w:ascii="Georgia" w:hAnsi="Georgia"/>
          <w:sz w:val="24"/>
        </w:rPr>
        <w:t>CJ</w:t>
      </w:r>
      <w:r w:rsidRPr="00155900">
        <w:rPr>
          <w:rFonts w:ascii="Georgia" w:hAnsi="Georgia"/>
          <w:sz w:val="24"/>
        </w:rPr>
        <w:t xml:space="preserve"> as a third instance in the patent court structure</w:t>
      </w:r>
      <w:r>
        <w:rPr>
          <w:rFonts w:ascii="Georgia" w:hAnsi="Georgia"/>
          <w:sz w:val="24"/>
        </w:rPr>
        <w:t>,</w:t>
      </w:r>
      <w:r w:rsidRPr="00155900">
        <w:rPr>
          <w:rFonts w:ascii="Georgia" w:hAnsi="Georgia"/>
          <w:sz w:val="24"/>
        </w:rPr>
        <w:t xml:space="preserve"> would be the alternative mentioned as compatible with the EU legal order by the Advocates General, namely a court system </w:t>
      </w:r>
      <w:r>
        <w:rPr>
          <w:rFonts w:ascii="Georgia" w:hAnsi="Georgia"/>
          <w:sz w:val="24"/>
        </w:rPr>
        <w:t>as it has been adopted for</w:t>
      </w:r>
      <w:r w:rsidRPr="00155900">
        <w:rPr>
          <w:rFonts w:ascii="Georgia" w:hAnsi="Georgia"/>
          <w:sz w:val="24"/>
        </w:rPr>
        <w:t xml:space="preserve"> the Community Trademark litigation (CTM) or the Benelux courts instead of a system of international courts and divisions. The option of the “CTM solution” approved by the Advocates General would </w:t>
      </w:r>
      <w:r>
        <w:rPr>
          <w:rFonts w:ascii="Georgia" w:hAnsi="Georgia"/>
          <w:sz w:val="24"/>
        </w:rPr>
        <w:t xml:space="preserve">however </w:t>
      </w:r>
      <w:r w:rsidRPr="00155900">
        <w:rPr>
          <w:rFonts w:ascii="Georgia" w:hAnsi="Georgia"/>
          <w:sz w:val="24"/>
        </w:rPr>
        <w:t xml:space="preserve">be an equally drastic modification with a similar result as the “repair solution” as far as the involvement of the </w:t>
      </w:r>
      <w:r>
        <w:rPr>
          <w:rFonts w:ascii="Georgia" w:hAnsi="Georgia"/>
          <w:sz w:val="24"/>
        </w:rPr>
        <w:t>CJ</w:t>
      </w:r>
      <w:r w:rsidRPr="00155900">
        <w:rPr>
          <w:rFonts w:ascii="Georgia" w:hAnsi="Georgia"/>
          <w:sz w:val="24"/>
        </w:rPr>
        <w:t xml:space="preserve"> and the limitation of membership to EU member states is concerned. </w:t>
      </w:r>
    </w:p>
    <w:p w:rsidR="00801430" w:rsidRPr="00155900" w:rsidRDefault="00801430" w:rsidP="00864E96">
      <w:pPr>
        <w:spacing w:line="36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 xml:space="preserve">Although the </w:t>
      </w:r>
      <w:r>
        <w:rPr>
          <w:rFonts w:ascii="Georgia" w:hAnsi="Georgia"/>
          <w:sz w:val="24"/>
        </w:rPr>
        <w:t>CJ</w:t>
      </w:r>
      <w:r w:rsidRPr="00155900">
        <w:rPr>
          <w:rFonts w:ascii="Georgia" w:hAnsi="Georgia"/>
          <w:sz w:val="24"/>
        </w:rPr>
        <w:t xml:space="preserve"> only briefly mentions the Benelux court and does not discuss the CTM proposal of the AGs expressly, the Benelux court as well as the CTM court </w:t>
      </w:r>
      <w:r>
        <w:rPr>
          <w:rFonts w:ascii="Georgia" w:hAnsi="Georgia"/>
          <w:sz w:val="24"/>
        </w:rPr>
        <w:t>system leave</w:t>
      </w:r>
      <w:r w:rsidRPr="00155900">
        <w:rPr>
          <w:rFonts w:ascii="Georgia" w:hAnsi="Georgia"/>
          <w:sz w:val="24"/>
        </w:rPr>
        <w:t xml:space="preserve"> the national courts intact which would apply their national procedural rules and would of course act under the full control of the </w:t>
      </w:r>
      <w:r>
        <w:rPr>
          <w:rFonts w:ascii="Georgia" w:hAnsi="Georgia"/>
          <w:sz w:val="24"/>
        </w:rPr>
        <w:t>CJ</w:t>
      </w:r>
      <w:r>
        <w:rPr>
          <w:rStyle w:val="Voetnootmarkering"/>
          <w:rFonts w:ascii="Georgia" w:hAnsi="Georgia"/>
          <w:sz w:val="24"/>
        </w:rPr>
        <w:footnoteReference w:id="21"/>
      </w:r>
      <w:r w:rsidRPr="00155900">
        <w:rPr>
          <w:rFonts w:ascii="Georgia" w:hAnsi="Georgia"/>
          <w:sz w:val="24"/>
        </w:rPr>
        <w:t>, so that it would presumably not be an option which would be attractive for most users</w:t>
      </w:r>
      <w:r>
        <w:rPr>
          <w:rFonts w:ascii="Georgia" w:hAnsi="Georgia"/>
          <w:sz w:val="24"/>
        </w:rPr>
        <w:t xml:space="preserve"> in the field of patents</w:t>
      </w:r>
      <w:r w:rsidRPr="00155900">
        <w:rPr>
          <w:rFonts w:ascii="Georgia" w:hAnsi="Georgia"/>
          <w:sz w:val="24"/>
        </w:rPr>
        <w:t xml:space="preserve">. It had </w:t>
      </w:r>
      <w:r>
        <w:rPr>
          <w:rFonts w:ascii="Georgia" w:hAnsi="Georgia"/>
          <w:sz w:val="24"/>
        </w:rPr>
        <w:t xml:space="preserve">been one of the </w:t>
      </w:r>
      <w:r w:rsidRPr="00155900">
        <w:rPr>
          <w:rFonts w:ascii="Georgia" w:hAnsi="Georgia"/>
          <w:sz w:val="24"/>
        </w:rPr>
        <w:t>goal</w:t>
      </w:r>
      <w:r>
        <w:rPr>
          <w:rFonts w:ascii="Georgia" w:hAnsi="Georgia"/>
          <w:sz w:val="24"/>
        </w:rPr>
        <w:t>s</w:t>
      </w:r>
      <w:r w:rsidRPr="00155900">
        <w:rPr>
          <w:rFonts w:ascii="Georgia" w:hAnsi="Georgia"/>
          <w:sz w:val="24"/>
        </w:rPr>
        <w:t xml:space="preserve">, in particular for those parts of industry which </w:t>
      </w:r>
      <w:r>
        <w:rPr>
          <w:rFonts w:ascii="Georgia" w:hAnsi="Georgia"/>
          <w:sz w:val="24"/>
        </w:rPr>
        <w:t xml:space="preserve">have in the past experienced </w:t>
      </w:r>
      <w:r w:rsidRPr="00155900">
        <w:rPr>
          <w:rFonts w:ascii="Georgia" w:hAnsi="Georgia"/>
          <w:sz w:val="24"/>
        </w:rPr>
        <w:t xml:space="preserve">diverging decisions in </w:t>
      </w:r>
      <w:r>
        <w:rPr>
          <w:rFonts w:ascii="Georgia" w:hAnsi="Georgia"/>
          <w:sz w:val="24"/>
        </w:rPr>
        <w:t xml:space="preserve">cases of </w:t>
      </w:r>
      <w:r w:rsidRPr="00155900">
        <w:rPr>
          <w:rFonts w:ascii="Georgia" w:hAnsi="Georgia"/>
          <w:sz w:val="24"/>
        </w:rPr>
        <w:t xml:space="preserve">parallel litigation, to achieve more harmonisation by way of </w:t>
      </w:r>
      <w:r w:rsidRPr="00C2663E">
        <w:rPr>
          <w:rFonts w:ascii="Georgia" w:hAnsi="Georgia"/>
          <w:i/>
          <w:sz w:val="24"/>
        </w:rPr>
        <w:t>multinational local divisions</w:t>
      </w:r>
      <w:r>
        <w:rPr>
          <w:rStyle w:val="Voetnootmarkering"/>
          <w:rFonts w:ascii="Georgia" w:hAnsi="Georgia"/>
          <w:i/>
          <w:sz w:val="24"/>
        </w:rPr>
        <w:footnoteReference w:id="22"/>
      </w:r>
      <w:r w:rsidRPr="00155900">
        <w:rPr>
          <w:rFonts w:ascii="Georgia" w:hAnsi="Georgia"/>
          <w:sz w:val="24"/>
        </w:rPr>
        <w:t xml:space="preserve"> which do not exist under the CTM court system. </w:t>
      </w:r>
      <w:r>
        <w:rPr>
          <w:rFonts w:ascii="Georgia" w:hAnsi="Georgia"/>
          <w:sz w:val="24"/>
        </w:rPr>
        <w:t>Also the CTM model</w:t>
      </w:r>
      <w:r w:rsidRPr="00155900">
        <w:rPr>
          <w:rFonts w:ascii="Georgia" w:hAnsi="Georgia"/>
          <w:sz w:val="24"/>
        </w:rPr>
        <w:t xml:space="preserve"> would therefore change the goals of the Draft Agreement decisively. </w:t>
      </w:r>
    </w:p>
    <w:p w:rsidR="00801430" w:rsidRPr="00155900" w:rsidRDefault="00801430" w:rsidP="00196731">
      <w:pPr>
        <w:spacing w:line="360" w:lineRule="auto"/>
        <w:ind w:left="1155"/>
        <w:rPr>
          <w:rFonts w:ascii="Georgia" w:hAnsi="Georgia"/>
          <w:sz w:val="24"/>
          <w:u w:val="single"/>
        </w:rPr>
      </w:pPr>
    </w:p>
    <w:p w:rsidR="00801430" w:rsidRPr="00155900" w:rsidRDefault="00801430" w:rsidP="00196731">
      <w:pPr>
        <w:spacing w:line="360" w:lineRule="auto"/>
        <w:ind w:left="1155"/>
        <w:rPr>
          <w:rFonts w:ascii="Georgia" w:hAnsi="Georgia"/>
          <w:sz w:val="24"/>
        </w:rPr>
      </w:pPr>
      <w:r w:rsidRPr="00155900">
        <w:rPr>
          <w:rFonts w:ascii="Georgia" w:hAnsi="Georgia"/>
          <w:sz w:val="24"/>
        </w:rPr>
        <w:t>In addition, as already mentioned, this proposal would again restrict the mem</w:t>
      </w:r>
      <w:r>
        <w:rPr>
          <w:rFonts w:ascii="Georgia" w:hAnsi="Georgia"/>
          <w:sz w:val="24"/>
        </w:rPr>
        <w:t>bership of the Agreement to EU m</w:t>
      </w:r>
      <w:r w:rsidRPr="00155900">
        <w:rPr>
          <w:rFonts w:ascii="Georgia" w:hAnsi="Georgia"/>
          <w:sz w:val="24"/>
        </w:rPr>
        <w:t xml:space="preserve">ember </w:t>
      </w:r>
      <w:r>
        <w:rPr>
          <w:rFonts w:ascii="Georgia" w:hAnsi="Georgia"/>
          <w:sz w:val="24"/>
        </w:rPr>
        <w:t>s</w:t>
      </w:r>
      <w:r w:rsidRPr="00155900">
        <w:rPr>
          <w:rFonts w:ascii="Georgia" w:hAnsi="Georgia"/>
          <w:sz w:val="24"/>
        </w:rPr>
        <w:t>tates, so that users would have to deal with patchwork jurisdiction. But patchwork jurisdiction they have already today, at less cost and with less or no involvement of an EU instance on top of the national patent courts. It would also be a surprising move to tell EPC member states outside the EU like Switzerland that they are no longer welcome in the “patent litigation club”.</w:t>
      </w:r>
    </w:p>
    <w:p w:rsidR="00801430" w:rsidRDefault="00801430" w:rsidP="00864E96">
      <w:pPr>
        <w:spacing w:line="360" w:lineRule="auto"/>
        <w:ind w:left="1155"/>
        <w:rPr>
          <w:rFonts w:ascii="Georgia" w:hAnsi="Georgia"/>
          <w:sz w:val="24"/>
        </w:rPr>
      </w:pPr>
    </w:p>
    <w:p w:rsidR="00801430" w:rsidRPr="00155900" w:rsidRDefault="00801430" w:rsidP="003861B1">
      <w:pPr>
        <w:spacing w:line="360" w:lineRule="auto"/>
        <w:ind w:left="1155"/>
        <w:rPr>
          <w:rFonts w:ascii="Georgia" w:hAnsi="Georgia"/>
          <w:sz w:val="24"/>
        </w:rPr>
      </w:pPr>
      <w:r w:rsidRPr="00155900">
        <w:rPr>
          <w:rFonts w:ascii="Georgia" w:hAnsi="Georgia"/>
          <w:sz w:val="24"/>
        </w:rPr>
        <w:t xml:space="preserve">But the involvement of the </w:t>
      </w:r>
      <w:r>
        <w:rPr>
          <w:rFonts w:ascii="Georgia" w:hAnsi="Georgia"/>
          <w:sz w:val="24"/>
        </w:rPr>
        <w:t>CJ</w:t>
      </w:r>
      <w:r w:rsidRPr="00155900">
        <w:rPr>
          <w:rFonts w:ascii="Georgia" w:hAnsi="Georgia"/>
          <w:sz w:val="24"/>
        </w:rPr>
        <w:t xml:space="preserve"> in infringement </w:t>
      </w:r>
      <w:r>
        <w:rPr>
          <w:rFonts w:ascii="Georgia" w:hAnsi="Georgia"/>
          <w:sz w:val="24"/>
        </w:rPr>
        <w:t xml:space="preserve">and revocation </w:t>
      </w:r>
      <w:r w:rsidRPr="00155900">
        <w:rPr>
          <w:rFonts w:ascii="Georgia" w:hAnsi="Georgia"/>
          <w:sz w:val="24"/>
        </w:rPr>
        <w:t>proceedings as an instance of permanent legal con</w:t>
      </w:r>
      <w:r>
        <w:rPr>
          <w:rFonts w:ascii="Georgia" w:hAnsi="Georgia"/>
          <w:sz w:val="24"/>
        </w:rPr>
        <w:t>trol would not be the only modification</w:t>
      </w:r>
      <w:r w:rsidRPr="00155900">
        <w:rPr>
          <w:rFonts w:ascii="Georgia" w:hAnsi="Georgia"/>
          <w:sz w:val="24"/>
        </w:rPr>
        <w:t>. The Advocates General in their Opinion of July 2, 2010 in par.71 have noted that there is no legal review for decisions of the Boards of Appeal in granting and opposition proceedings</w:t>
      </w:r>
      <w:r>
        <w:rPr>
          <w:rFonts w:ascii="Georgia" w:hAnsi="Georgia"/>
          <w:sz w:val="24"/>
        </w:rPr>
        <w:t xml:space="preserve"> concerning EU patents</w:t>
      </w:r>
      <w:r w:rsidRPr="00155900">
        <w:rPr>
          <w:rFonts w:ascii="Georgia" w:hAnsi="Georgia"/>
          <w:sz w:val="24"/>
        </w:rPr>
        <w:t xml:space="preserve">. The </w:t>
      </w:r>
      <w:r>
        <w:rPr>
          <w:rFonts w:ascii="Georgia" w:hAnsi="Georgia"/>
          <w:sz w:val="24"/>
        </w:rPr>
        <w:t>CJ</w:t>
      </w:r>
      <w:r w:rsidRPr="00155900">
        <w:rPr>
          <w:rFonts w:ascii="Georgia" w:hAnsi="Georgia"/>
          <w:sz w:val="24"/>
        </w:rPr>
        <w:t xml:space="preserve"> has</w:t>
      </w:r>
      <w:r>
        <w:rPr>
          <w:rFonts w:ascii="Georgia" w:hAnsi="Georgia"/>
          <w:sz w:val="24"/>
        </w:rPr>
        <w:t xml:space="preserve"> again</w:t>
      </w:r>
      <w:r w:rsidRPr="00155900">
        <w:rPr>
          <w:rFonts w:ascii="Georgia" w:hAnsi="Georgia"/>
          <w:sz w:val="24"/>
        </w:rPr>
        <w:t xml:space="preserve"> not dealt with this question. If one agrees with the Advocates General and fears non-comp</w:t>
      </w:r>
      <w:r>
        <w:rPr>
          <w:rFonts w:ascii="Georgia" w:hAnsi="Georgia"/>
          <w:sz w:val="24"/>
        </w:rPr>
        <w:t>atibility</w:t>
      </w:r>
      <w:r w:rsidRPr="00155900">
        <w:rPr>
          <w:rFonts w:ascii="Georgia" w:hAnsi="Georgia"/>
          <w:sz w:val="24"/>
        </w:rPr>
        <w:t xml:space="preserve"> with the EU legal order, the only solution would be to empower the EPO Boards of Appeal to refer such questions in their own right to the </w:t>
      </w:r>
      <w:r>
        <w:rPr>
          <w:rFonts w:ascii="Georgia" w:hAnsi="Georgia"/>
          <w:sz w:val="24"/>
        </w:rPr>
        <w:t>CJ</w:t>
      </w:r>
      <w:r w:rsidRPr="00155900">
        <w:rPr>
          <w:rFonts w:ascii="Georgia" w:hAnsi="Georgia"/>
          <w:sz w:val="24"/>
        </w:rPr>
        <w:t xml:space="preserve">. This however means that the users will also for the granting and opposition procedure have to fear a </w:t>
      </w:r>
      <w:r w:rsidRPr="00155900">
        <w:rPr>
          <w:rFonts w:ascii="Georgia" w:hAnsi="Georgia"/>
          <w:i/>
          <w:sz w:val="24"/>
        </w:rPr>
        <w:t>third instance</w:t>
      </w:r>
      <w:r w:rsidRPr="00155900">
        <w:rPr>
          <w:rFonts w:ascii="Georgia" w:hAnsi="Georgia"/>
          <w:sz w:val="24"/>
        </w:rPr>
        <w:t xml:space="preserve">. If this will happen, each losing party in granting and opposition proceedings will </w:t>
      </w:r>
      <w:r>
        <w:rPr>
          <w:rFonts w:ascii="Georgia" w:hAnsi="Georgia"/>
          <w:sz w:val="24"/>
        </w:rPr>
        <w:t xml:space="preserve">use </w:t>
      </w:r>
      <w:r w:rsidRPr="00155900">
        <w:rPr>
          <w:rFonts w:ascii="Georgia" w:hAnsi="Georgia"/>
          <w:sz w:val="24"/>
        </w:rPr>
        <w:t>the opportunity to prolong the case and prevent a final negative decision. Will this reduce cost and save time</w:t>
      </w:r>
      <w:r>
        <w:rPr>
          <w:rFonts w:ascii="Georgia" w:hAnsi="Georgia"/>
          <w:sz w:val="24"/>
        </w:rPr>
        <w:t xml:space="preserve"> as expected by the users and promised by the Commission</w:t>
      </w:r>
      <w:r w:rsidRPr="00155900">
        <w:rPr>
          <w:rFonts w:ascii="Georgia" w:hAnsi="Georgia"/>
          <w:sz w:val="24"/>
        </w:rPr>
        <w:t xml:space="preserve">? Certainly not. </w:t>
      </w:r>
    </w:p>
    <w:p w:rsidR="00801430" w:rsidRDefault="00801430" w:rsidP="00864E96">
      <w:pPr>
        <w:spacing w:line="360" w:lineRule="auto"/>
        <w:ind w:left="1155"/>
        <w:rPr>
          <w:rFonts w:ascii="Georgia" w:hAnsi="Georgia"/>
          <w:sz w:val="24"/>
        </w:rPr>
      </w:pPr>
    </w:p>
    <w:p w:rsidR="00801430" w:rsidRPr="00155900" w:rsidRDefault="00801430" w:rsidP="00196731">
      <w:pPr>
        <w:spacing w:line="360" w:lineRule="auto"/>
        <w:ind w:left="1155"/>
        <w:rPr>
          <w:rFonts w:ascii="Georgia" w:hAnsi="Georgia"/>
          <w:sz w:val="24"/>
        </w:rPr>
      </w:pPr>
      <w:r w:rsidRPr="00155900">
        <w:rPr>
          <w:rFonts w:ascii="Georgia" w:hAnsi="Georgia"/>
          <w:sz w:val="24"/>
        </w:rPr>
        <w:t xml:space="preserve">What is the reason for the negative outcome of the Court </w:t>
      </w:r>
      <w:r>
        <w:rPr>
          <w:rFonts w:ascii="Georgia" w:hAnsi="Georgia"/>
          <w:sz w:val="24"/>
        </w:rPr>
        <w:t>even though</w:t>
      </w:r>
      <w:r w:rsidRPr="00155900">
        <w:rPr>
          <w:rFonts w:ascii="Georgia" w:hAnsi="Georgia"/>
          <w:sz w:val="24"/>
        </w:rPr>
        <w:t xml:space="preserve"> the Judges in Luxembourg must have been aware of the fact that this could or would be the end of the discussion on a common patent system for the EU? It seems that two principles oppose each other which cannot be reconciled: </w:t>
      </w:r>
    </w:p>
    <w:p w:rsidR="00801430" w:rsidRPr="00155900" w:rsidRDefault="00801430" w:rsidP="00196731">
      <w:pPr>
        <w:spacing w:line="360" w:lineRule="auto"/>
        <w:ind w:left="1155"/>
        <w:rPr>
          <w:rFonts w:ascii="Georgia" w:hAnsi="Georgia"/>
          <w:sz w:val="24"/>
        </w:rPr>
      </w:pPr>
    </w:p>
    <w:p w:rsidR="00801430" w:rsidRPr="00155900" w:rsidRDefault="00801430" w:rsidP="00196731">
      <w:pPr>
        <w:numPr>
          <w:ilvl w:val="1"/>
          <w:numId w:val="47"/>
        </w:numPr>
        <w:spacing w:line="240" w:lineRule="auto"/>
        <w:ind w:left="1155" w:firstLine="0"/>
        <w:rPr>
          <w:rFonts w:ascii="Georgia" w:hAnsi="Georgia"/>
          <w:sz w:val="24"/>
        </w:rPr>
      </w:pPr>
      <w:r w:rsidRPr="00155900">
        <w:rPr>
          <w:rFonts w:ascii="Georgia" w:hAnsi="Georgia"/>
          <w:sz w:val="24"/>
        </w:rPr>
        <w:t xml:space="preserve">the understandable concern of the </w:t>
      </w:r>
      <w:r>
        <w:rPr>
          <w:rFonts w:ascii="Georgia" w:hAnsi="Georgia"/>
          <w:sz w:val="24"/>
        </w:rPr>
        <w:t>CJ</w:t>
      </w:r>
      <w:r w:rsidRPr="00155900">
        <w:rPr>
          <w:rFonts w:ascii="Georgia" w:hAnsi="Georgia"/>
          <w:sz w:val="24"/>
        </w:rPr>
        <w:t xml:space="preserve"> that parts of the EU legal order might drift away from the great goal of a uniform </w:t>
      </w:r>
      <w:r>
        <w:rPr>
          <w:rFonts w:ascii="Georgia" w:hAnsi="Georgia"/>
          <w:sz w:val="24"/>
        </w:rPr>
        <w:t xml:space="preserve">internal </w:t>
      </w:r>
      <w:r w:rsidRPr="00155900">
        <w:rPr>
          <w:rFonts w:ascii="Georgia" w:hAnsi="Georgia"/>
          <w:sz w:val="24"/>
        </w:rPr>
        <w:t>market</w:t>
      </w:r>
      <w:r>
        <w:rPr>
          <w:rStyle w:val="Voetnootmarkering"/>
          <w:rFonts w:ascii="Georgia" w:hAnsi="Georgia"/>
          <w:sz w:val="24"/>
        </w:rPr>
        <w:footnoteReference w:id="23"/>
      </w:r>
      <w:r w:rsidRPr="00155900">
        <w:rPr>
          <w:rFonts w:ascii="Georgia" w:hAnsi="Georgia"/>
          <w:sz w:val="24"/>
        </w:rPr>
        <w:t>, and</w:t>
      </w:r>
    </w:p>
    <w:p w:rsidR="00801430" w:rsidRPr="00155900" w:rsidRDefault="00801430" w:rsidP="00196731">
      <w:pPr>
        <w:spacing w:line="240" w:lineRule="auto"/>
        <w:ind w:left="1155"/>
        <w:rPr>
          <w:rFonts w:ascii="Georgia" w:hAnsi="Georgia"/>
          <w:sz w:val="24"/>
        </w:rPr>
      </w:pPr>
    </w:p>
    <w:p w:rsidR="00801430" w:rsidRPr="00155900" w:rsidRDefault="00801430" w:rsidP="00196731">
      <w:pPr>
        <w:numPr>
          <w:ilvl w:val="1"/>
          <w:numId w:val="47"/>
        </w:numPr>
        <w:spacing w:line="240" w:lineRule="auto"/>
        <w:ind w:left="1155" w:firstLine="0"/>
        <w:rPr>
          <w:rFonts w:ascii="Georgia" w:hAnsi="Georgia"/>
          <w:sz w:val="24"/>
        </w:rPr>
      </w:pPr>
      <w:r w:rsidRPr="00155900">
        <w:rPr>
          <w:rFonts w:ascii="Georgia" w:hAnsi="Georgia"/>
          <w:sz w:val="24"/>
        </w:rPr>
        <w:t>the concern of the interested circles, namely millions of patent owners and future patent applicants</w:t>
      </w:r>
      <w:r>
        <w:rPr>
          <w:rFonts w:ascii="Georgia" w:hAnsi="Georgia"/>
          <w:sz w:val="24"/>
        </w:rPr>
        <w:t>,</w:t>
      </w:r>
      <w:r w:rsidRPr="00155900">
        <w:rPr>
          <w:rFonts w:ascii="Georgia" w:hAnsi="Georgia"/>
          <w:sz w:val="24"/>
        </w:rPr>
        <w:t xml:space="preserve"> that a patent litigation system under the “auspices” of the EU legal order of which patent law has never been a part would </w:t>
      </w:r>
      <w:r>
        <w:rPr>
          <w:rFonts w:ascii="Georgia" w:hAnsi="Georgia"/>
          <w:sz w:val="24"/>
        </w:rPr>
        <w:t>significantly</w:t>
      </w:r>
      <w:r w:rsidRPr="00155900">
        <w:rPr>
          <w:rFonts w:ascii="Georgia" w:hAnsi="Georgia"/>
          <w:sz w:val="24"/>
        </w:rPr>
        <w:t xml:space="preserve"> reduce the quality of patent litigation which is functioning well in a number of member states</w:t>
      </w:r>
      <w:r>
        <w:rPr>
          <w:rFonts w:ascii="Georgia" w:hAnsi="Georgia"/>
          <w:sz w:val="24"/>
        </w:rPr>
        <w:t xml:space="preserve">. If users come to the conclusion that the required modifications would make litigation </w:t>
      </w:r>
    </w:p>
    <w:p w:rsidR="00801430" w:rsidRPr="00155900" w:rsidRDefault="00801430" w:rsidP="00196731">
      <w:pPr>
        <w:spacing w:line="360" w:lineRule="auto"/>
        <w:ind w:left="1155"/>
        <w:rPr>
          <w:rFonts w:ascii="Georgia" w:hAnsi="Georgia"/>
          <w:sz w:val="24"/>
        </w:rPr>
      </w:pPr>
    </w:p>
    <w:p w:rsidR="00801430" w:rsidRPr="00155900" w:rsidRDefault="00801430" w:rsidP="00196731">
      <w:pPr>
        <w:numPr>
          <w:ilvl w:val="2"/>
          <w:numId w:val="47"/>
        </w:numPr>
        <w:spacing w:line="360" w:lineRule="auto"/>
        <w:ind w:left="1155" w:firstLine="0"/>
        <w:rPr>
          <w:rFonts w:ascii="Georgia" w:hAnsi="Georgia"/>
          <w:sz w:val="24"/>
        </w:rPr>
      </w:pPr>
      <w:r w:rsidRPr="00155900">
        <w:rPr>
          <w:rFonts w:ascii="Georgia" w:hAnsi="Georgia"/>
          <w:sz w:val="24"/>
        </w:rPr>
        <w:t>more costly</w:t>
      </w:r>
    </w:p>
    <w:p w:rsidR="00801430" w:rsidRPr="00155900" w:rsidRDefault="00801430" w:rsidP="00196731">
      <w:pPr>
        <w:numPr>
          <w:ilvl w:val="2"/>
          <w:numId w:val="47"/>
        </w:numPr>
        <w:spacing w:line="360" w:lineRule="auto"/>
        <w:ind w:left="1155" w:firstLine="0"/>
        <w:rPr>
          <w:rFonts w:ascii="Georgia" w:hAnsi="Georgia"/>
          <w:sz w:val="24"/>
        </w:rPr>
      </w:pPr>
      <w:r w:rsidRPr="00155900">
        <w:rPr>
          <w:rFonts w:ascii="Georgia" w:hAnsi="Georgia"/>
          <w:sz w:val="24"/>
        </w:rPr>
        <w:t>more time consuming</w:t>
      </w:r>
    </w:p>
    <w:p w:rsidR="00801430" w:rsidRPr="00155900" w:rsidRDefault="00801430" w:rsidP="00196731">
      <w:pPr>
        <w:numPr>
          <w:ilvl w:val="2"/>
          <w:numId w:val="47"/>
        </w:numPr>
        <w:spacing w:line="360" w:lineRule="auto"/>
        <w:ind w:left="1155" w:firstLine="0"/>
        <w:rPr>
          <w:rFonts w:ascii="Georgia" w:hAnsi="Georgia"/>
          <w:sz w:val="24"/>
        </w:rPr>
      </w:pPr>
      <w:r w:rsidRPr="00155900">
        <w:rPr>
          <w:rFonts w:ascii="Georgia" w:hAnsi="Georgia"/>
          <w:sz w:val="24"/>
        </w:rPr>
        <w:t>less efficient</w:t>
      </w:r>
    </w:p>
    <w:p w:rsidR="00801430" w:rsidRPr="00155900" w:rsidRDefault="00801430" w:rsidP="00196731">
      <w:pPr>
        <w:numPr>
          <w:ilvl w:val="2"/>
          <w:numId w:val="47"/>
        </w:numPr>
        <w:spacing w:line="360" w:lineRule="auto"/>
        <w:ind w:left="1155" w:firstLine="0"/>
        <w:rPr>
          <w:rFonts w:ascii="Georgia" w:hAnsi="Georgia"/>
          <w:sz w:val="24"/>
        </w:rPr>
      </w:pPr>
      <w:r w:rsidRPr="00155900">
        <w:rPr>
          <w:rFonts w:ascii="Georgia" w:hAnsi="Georgia"/>
          <w:sz w:val="24"/>
        </w:rPr>
        <w:t>and unpredictable</w:t>
      </w:r>
      <w:r w:rsidRPr="00155900">
        <w:rPr>
          <w:rFonts w:ascii="Georgia" w:hAnsi="Georgia"/>
          <w:sz w:val="24"/>
        </w:rPr>
        <w:tab/>
      </w:r>
    </w:p>
    <w:p w:rsidR="00801430" w:rsidRDefault="00801430" w:rsidP="00196731">
      <w:pPr>
        <w:spacing w:line="360" w:lineRule="auto"/>
        <w:ind w:left="1155"/>
        <w:rPr>
          <w:rFonts w:ascii="Georgia" w:hAnsi="Georgia"/>
          <w:sz w:val="24"/>
        </w:rPr>
      </w:pPr>
    </w:p>
    <w:p w:rsidR="00801430" w:rsidRPr="00155900" w:rsidRDefault="00801430" w:rsidP="00196731">
      <w:pPr>
        <w:spacing w:line="360" w:lineRule="auto"/>
        <w:ind w:left="1155"/>
        <w:rPr>
          <w:rFonts w:ascii="Georgia" w:hAnsi="Georgia"/>
          <w:sz w:val="24"/>
        </w:rPr>
      </w:pPr>
      <w:r>
        <w:rPr>
          <w:rFonts w:ascii="Georgia" w:hAnsi="Georgia"/>
          <w:sz w:val="24"/>
        </w:rPr>
        <w:t xml:space="preserve">then a common court system under the EU umbrella is no longer attractive. One would probably prefer instead to concentrate on more harmonisation of national courts with respect to infringement and revocation procedure as well as interpretation of substantive law.   </w:t>
      </w:r>
    </w:p>
    <w:p w:rsidR="00801430" w:rsidRPr="00155900" w:rsidRDefault="00801430" w:rsidP="00864E96">
      <w:pPr>
        <w:spacing w:line="360" w:lineRule="auto"/>
        <w:ind w:left="1155"/>
        <w:rPr>
          <w:rFonts w:ascii="Georgia" w:hAnsi="Georgia"/>
          <w:sz w:val="24"/>
        </w:rPr>
      </w:pPr>
    </w:p>
    <w:p w:rsidR="00801430" w:rsidRDefault="00801430" w:rsidP="00864E96">
      <w:pPr>
        <w:spacing w:line="360" w:lineRule="auto"/>
        <w:ind w:left="1155"/>
        <w:jc w:val="center"/>
        <w:rPr>
          <w:rFonts w:ascii="Georgia" w:hAnsi="Georgia"/>
          <w:b/>
          <w:sz w:val="24"/>
        </w:rPr>
      </w:pPr>
    </w:p>
    <w:p w:rsidR="00801430" w:rsidRPr="00155900" w:rsidRDefault="00801430" w:rsidP="00864E96">
      <w:pPr>
        <w:spacing w:line="360" w:lineRule="auto"/>
        <w:ind w:left="1155"/>
        <w:jc w:val="center"/>
        <w:rPr>
          <w:rFonts w:ascii="Georgia" w:hAnsi="Georgia"/>
          <w:b/>
          <w:sz w:val="24"/>
        </w:rPr>
      </w:pPr>
      <w:r w:rsidRPr="00155900">
        <w:rPr>
          <w:rFonts w:ascii="Georgia" w:hAnsi="Georgia"/>
          <w:b/>
          <w:sz w:val="24"/>
        </w:rPr>
        <w:t>III. Consequences and Remedies?</w:t>
      </w:r>
    </w:p>
    <w:p w:rsidR="00801430" w:rsidRPr="00155900" w:rsidRDefault="00801430" w:rsidP="00736741">
      <w:pPr>
        <w:spacing w:line="360" w:lineRule="auto"/>
        <w:ind w:left="1155"/>
        <w:rPr>
          <w:rFonts w:ascii="Georgia" w:hAnsi="Georgia"/>
          <w:b/>
          <w:sz w:val="24"/>
        </w:rPr>
      </w:pPr>
    </w:p>
    <w:p w:rsidR="00801430" w:rsidRPr="002419F4" w:rsidRDefault="00801430" w:rsidP="00736741">
      <w:pPr>
        <w:numPr>
          <w:ilvl w:val="0"/>
          <w:numId w:val="48"/>
        </w:numPr>
        <w:spacing w:line="360" w:lineRule="auto"/>
        <w:rPr>
          <w:rFonts w:ascii="Georgia" w:hAnsi="Georgia"/>
          <w:b/>
          <w:i/>
          <w:sz w:val="24"/>
        </w:rPr>
      </w:pPr>
      <w:r w:rsidRPr="002419F4">
        <w:rPr>
          <w:rFonts w:ascii="Georgia" w:hAnsi="Georgia"/>
          <w:b/>
          <w:i/>
          <w:sz w:val="24"/>
        </w:rPr>
        <w:t>EPC law should not become part of the EU legal order</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Another reason why users in the negotiations with the Com</w:t>
      </w:r>
      <w:r>
        <w:rPr>
          <w:rFonts w:ascii="Georgia" w:hAnsi="Georgia"/>
          <w:sz w:val="24"/>
        </w:rPr>
        <w:t>mission have emphasized that</w:t>
      </w:r>
      <w:r w:rsidRPr="00155900">
        <w:rPr>
          <w:rFonts w:ascii="Georgia" w:hAnsi="Georgia"/>
          <w:sz w:val="24"/>
        </w:rPr>
        <w:t xml:space="preserve"> </w:t>
      </w:r>
      <w:r>
        <w:rPr>
          <w:rFonts w:ascii="Georgia" w:hAnsi="Georgia"/>
          <w:sz w:val="24"/>
        </w:rPr>
        <w:t>involvement of</w:t>
      </w:r>
      <w:r w:rsidRPr="00155900">
        <w:rPr>
          <w:rFonts w:ascii="Georgia" w:hAnsi="Georgia"/>
          <w:sz w:val="24"/>
        </w:rPr>
        <w:t xml:space="preserve"> the </w:t>
      </w:r>
      <w:r>
        <w:rPr>
          <w:rFonts w:ascii="Georgia" w:hAnsi="Georgia"/>
          <w:sz w:val="24"/>
        </w:rPr>
        <w:t>CJ</w:t>
      </w:r>
      <w:r w:rsidRPr="00155900">
        <w:rPr>
          <w:rFonts w:ascii="Georgia" w:hAnsi="Georgia"/>
          <w:sz w:val="24"/>
        </w:rPr>
        <w:t xml:space="preserve"> should be limited to questions of EU law was that substantive patent law should not become part of the EU legal order. National patent laws in Europe have been harmonized with the EPC and with </w:t>
      </w:r>
      <w:r>
        <w:rPr>
          <w:rFonts w:ascii="Georgia" w:hAnsi="Georgia"/>
          <w:sz w:val="24"/>
        </w:rPr>
        <w:t>the draft</w:t>
      </w:r>
      <w:r w:rsidRPr="00155900">
        <w:rPr>
          <w:rFonts w:ascii="Georgia" w:hAnsi="Georgia"/>
          <w:sz w:val="24"/>
        </w:rPr>
        <w:t xml:space="preserve"> text of the </w:t>
      </w:r>
      <w:r w:rsidRPr="00155900">
        <w:rPr>
          <w:rFonts w:ascii="Georgia" w:hAnsi="Georgia"/>
          <w:i/>
          <w:sz w:val="24"/>
        </w:rPr>
        <w:t>Community Patent Convention</w:t>
      </w:r>
      <w:r w:rsidRPr="00155900">
        <w:rPr>
          <w:rFonts w:ascii="Georgia" w:hAnsi="Georgia"/>
          <w:sz w:val="24"/>
        </w:rPr>
        <w:t xml:space="preserve"> of 1975, so that substantive patent law has always been a matter of EPC and national law, interpreted in the granting procedure by the EPO and in infringement and revocation proceedings by the national courts. If an unrestricted access of EU instances to patent law is institutionalized, with respect to procedure as well the underlying substantive law to be applied, this would open the door to a new legal order of</w:t>
      </w:r>
      <w:r>
        <w:rPr>
          <w:rFonts w:ascii="Georgia" w:hAnsi="Georgia"/>
          <w:sz w:val="24"/>
        </w:rPr>
        <w:t xml:space="preserve"> </w:t>
      </w:r>
      <w:r w:rsidRPr="00155900">
        <w:rPr>
          <w:rFonts w:ascii="Georgia" w:hAnsi="Georgia"/>
          <w:sz w:val="24"/>
        </w:rPr>
        <w:t>patent law</w:t>
      </w:r>
      <w:r>
        <w:rPr>
          <w:rFonts w:ascii="Georgia" w:hAnsi="Georgia"/>
          <w:sz w:val="24"/>
        </w:rPr>
        <w:t xml:space="preserve"> within the</w:t>
      </w:r>
      <w:r w:rsidRPr="00155900">
        <w:rPr>
          <w:rFonts w:ascii="Georgia" w:hAnsi="Georgia"/>
          <w:sz w:val="24"/>
        </w:rPr>
        <w:t xml:space="preserve"> </w:t>
      </w:r>
      <w:r>
        <w:rPr>
          <w:rFonts w:ascii="Georgia" w:hAnsi="Georgia"/>
          <w:sz w:val="24"/>
        </w:rPr>
        <w:t>EU</w:t>
      </w:r>
      <w:r w:rsidRPr="00155900">
        <w:rPr>
          <w:rFonts w:ascii="Georgia" w:hAnsi="Georgia"/>
          <w:sz w:val="24"/>
        </w:rPr>
        <w:t xml:space="preserve">. </w:t>
      </w:r>
    </w:p>
    <w:p w:rsidR="00801430" w:rsidRPr="00155900" w:rsidRDefault="00801430" w:rsidP="00864E96">
      <w:pPr>
        <w:spacing w:line="36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 xml:space="preserve">The Unitary patent as it is being contemplated will be an EU </w:t>
      </w:r>
      <w:r>
        <w:rPr>
          <w:rFonts w:ascii="Georgia" w:hAnsi="Georgia"/>
          <w:sz w:val="24"/>
        </w:rPr>
        <w:t>title</w:t>
      </w:r>
      <w:r w:rsidRPr="00155900">
        <w:rPr>
          <w:rFonts w:ascii="Georgia" w:hAnsi="Georgia"/>
          <w:sz w:val="24"/>
        </w:rPr>
        <w:t xml:space="preserve">, even if it will not cover the whole EU. Whether it will </w:t>
      </w:r>
      <w:r>
        <w:rPr>
          <w:rFonts w:ascii="Georgia" w:hAnsi="Georgia"/>
          <w:sz w:val="24"/>
        </w:rPr>
        <w:t>be granted by the EPO without the</w:t>
      </w:r>
      <w:r w:rsidRPr="00155900">
        <w:rPr>
          <w:rFonts w:ascii="Georgia" w:hAnsi="Georgia"/>
          <w:sz w:val="24"/>
        </w:rPr>
        <w:t xml:space="preserve"> need </w:t>
      </w:r>
      <w:r>
        <w:rPr>
          <w:rFonts w:ascii="Georgia" w:hAnsi="Georgia"/>
          <w:sz w:val="24"/>
        </w:rPr>
        <w:t xml:space="preserve">for </w:t>
      </w:r>
      <w:r w:rsidRPr="00155900">
        <w:rPr>
          <w:rFonts w:ascii="Georgia" w:hAnsi="Georgia"/>
          <w:sz w:val="24"/>
        </w:rPr>
        <w:t xml:space="preserve">a further institutional act </w:t>
      </w:r>
      <w:r>
        <w:rPr>
          <w:rFonts w:ascii="Georgia" w:hAnsi="Georgia"/>
          <w:sz w:val="24"/>
        </w:rPr>
        <w:t>by the EU for</w:t>
      </w:r>
      <w:r w:rsidRPr="00155900">
        <w:rPr>
          <w:rFonts w:ascii="Georgia" w:hAnsi="Georgia"/>
          <w:sz w:val="24"/>
        </w:rPr>
        <w:t xml:space="preserve"> its transformation into an EU title is still disputed. But even if the grant of an EU pat</w:t>
      </w:r>
      <w:r>
        <w:rPr>
          <w:rFonts w:ascii="Georgia" w:hAnsi="Georgia"/>
          <w:sz w:val="24"/>
        </w:rPr>
        <w:t>ent is not an act of EU law, one could expect</w:t>
      </w:r>
      <w:r w:rsidRPr="00155900">
        <w:rPr>
          <w:rFonts w:ascii="Georgia" w:hAnsi="Georgia"/>
          <w:sz w:val="24"/>
        </w:rPr>
        <w:t xml:space="preserve"> that after its coming into existence it will be judge</w:t>
      </w:r>
      <w:r>
        <w:rPr>
          <w:rFonts w:ascii="Georgia" w:hAnsi="Georgia"/>
          <w:sz w:val="24"/>
        </w:rPr>
        <w:t>d during its further life</w:t>
      </w:r>
      <w:r w:rsidRPr="00155900">
        <w:rPr>
          <w:rFonts w:ascii="Georgia" w:hAnsi="Georgia"/>
          <w:sz w:val="24"/>
        </w:rPr>
        <w:t xml:space="preserve"> under EU rules. </w:t>
      </w:r>
    </w:p>
    <w:p w:rsidR="00801430" w:rsidRDefault="00801430" w:rsidP="00864E96">
      <w:pPr>
        <w:spacing w:line="360" w:lineRule="auto"/>
        <w:ind w:left="1155"/>
        <w:rPr>
          <w:rFonts w:ascii="Georgia" w:hAnsi="Georgia"/>
          <w:sz w:val="24"/>
        </w:rPr>
      </w:pPr>
    </w:p>
    <w:p w:rsidR="00801430" w:rsidRDefault="00801430" w:rsidP="00864E96">
      <w:pPr>
        <w:spacing w:line="360" w:lineRule="auto"/>
        <w:ind w:left="1155"/>
        <w:rPr>
          <w:rFonts w:ascii="Georgia" w:hAnsi="Georgia"/>
          <w:sz w:val="24"/>
        </w:rPr>
      </w:pPr>
      <w:r w:rsidRPr="00155900">
        <w:rPr>
          <w:rFonts w:ascii="Georgia" w:hAnsi="Georgia"/>
          <w:sz w:val="24"/>
        </w:rPr>
        <w:t>That there will be a sort of concrete wall between the EPC law and a limited number of purely procedural EU rules is difficult to imagine</w:t>
      </w:r>
      <w:r>
        <w:rPr>
          <w:rFonts w:ascii="Georgia" w:hAnsi="Georgia"/>
          <w:sz w:val="24"/>
        </w:rPr>
        <w:t xml:space="preserve">. </w:t>
      </w:r>
      <w:r w:rsidRPr="00155900">
        <w:rPr>
          <w:rFonts w:ascii="Georgia" w:hAnsi="Georgia"/>
          <w:sz w:val="24"/>
        </w:rPr>
        <w:t>Would the revocation of an EU patent by an EU court be based on “foreign law by reference” which take</w:t>
      </w:r>
      <w:r>
        <w:rPr>
          <w:rFonts w:ascii="Georgia" w:hAnsi="Georgia"/>
          <w:sz w:val="24"/>
        </w:rPr>
        <w:t>s</w:t>
      </w:r>
      <w:r w:rsidRPr="00155900">
        <w:rPr>
          <w:rFonts w:ascii="Georgia" w:hAnsi="Georgia"/>
          <w:sz w:val="24"/>
        </w:rPr>
        <w:t xml:space="preserve"> into account EPO case law and the interpretation by the national courts, </w:t>
      </w:r>
      <w:r>
        <w:rPr>
          <w:rFonts w:ascii="Georgia" w:hAnsi="Georgia"/>
          <w:sz w:val="24"/>
        </w:rPr>
        <w:t>if in reality</w:t>
      </w:r>
      <w:r w:rsidRPr="00155900">
        <w:rPr>
          <w:rFonts w:ascii="Georgia" w:hAnsi="Georgia"/>
          <w:sz w:val="24"/>
        </w:rPr>
        <w:t xml:space="preserve"> uniform decision</w:t>
      </w:r>
      <w:r>
        <w:rPr>
          <w:rFonts w:ascii="Georgia" w:hAnsi="Georgia"/>
          <w:sz w:val="24"/>
        </w:rPr>
        <w:t>s</w:t>
      </w:r>
      <w:r w:rsidRPr="00155900">
        <w:rPr>
          <w:rFonts w:ascii="Georgia" w:hAnsi="Georgia"/>
          <w:sz w:val="24"/>
        </w:rPr>
        <w:t xml:space="preserve"> and harmo</w:t>
      </w:r>
      <w:r>
        <w:rPr>
          <w:rFonts w:ascii="Georgia" w:hAnsi="Georgia"/>
          <w:sz w:val="24"/>
        </w:rPr>
        <w:t>nized rulings</w:t>
      </w:r>
      <w:r w:rsidRPr="00155900">
        <w:rPr>
          <w:rFonts w:ascii="Georgia" w:hAnsi="Georgia"/>
          <w:sz w:val="24"/>
        </w:rPr>
        <w:t xml:space="preserve"> – albeit limited to the EU – are the goal of the whole project? Does this not mean that EPC and national patent law, when applied to Unitary patents, will become part of the EU legal order? </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 xml:space="preserve">This would have the consequence that the </w:t>
      </w:r>
      <w:r>
        <w:rPr>
          <w:rFonts w:ascii="Georgia" w:hAnsi="Georgia"/>
          <w:sz w:val="24"/>
        </w:rPr>
        <w:t>CJ</w:t>
      </w:r>
      <w:r w:rsidRPr="00155900">
        <w:rPr>
          <w:rFonts w:ascii="Georgia" w:hAnsi="Georgia"/>
          <w:sz w:val="24"/>
        </w:rPr>
        <w:t xml:space="preserve"> would in the future have competence – except in case of</w:t>
      </w:r>
      <w:r>
        <w:rPr>
          <w:rFonts w:ascii="Georgia" w:hAnsi="Georgia"/>
          <w:sz w:val="24"/>
        </w:rPr>
        <w:t xml:space="preserve"> clear rules to the contrary </w:t>
      </w:r>
      <w:r w:rsidRPr="00155900">
        <w:rPr>
          <w:rFonts w:ascii="Georgia" w:hAnsi="Georgia"/>
          <w:sz w:val="24"/>
        </w:rPr>
        <w:t xml:space="preserve">– to decide on a great number of substantive law issues of the EPC whenever Unitary patents are at stake. This would considerably extend the competence of the </w:t>
      </w:r>
      <w:r>
        <w:rPr>
          <w:rFonts w:ascii="Georgia" w:hAnsi="Georgia"/>
          <w:sz w:val="24"/>
        </w:rPr>
        <w:t>CJ</w:t>
      </w:r>
      <w:r w:rsidRPr="00155900">
        <w:rPr>
          <w:rFonts w:ascii="Georgia" w:hAnsi="Georgia"/>
          <w:sz w:val="24"/>
        </w:rPr>
        <w:t xml:space="preserve"> and the Commission into the field of European patent law, and users would be confronted with concepts of “EU inventive step”, “EU scope of protection”, “EU equivalence” developed by the case law of the </w:t>
      </w:r>
      <w:r>
        <w:rPr>
          <w:rFonts w:ascii="Georgia" w:hAnsi="Georgia"/>
          <w:sz w:val="24"/>
        </w:rPr>
        <w:t>CJ</w:t>
      </w:r>
      <w:r w:rsidRPr="00155900">
        <w:rPr>
          <w:rFonts w:ascii="Georgia" w:hAnsi="Georgia"/>
          <w:sz w:val="24"/>
        </w:rPr>
        <w:t xml:space="preserve">. And would the EPO not follow the interpretation of the </w:t>
      </w:r>
      <w:r>
        <w:rPr>
          <w:rFonts w:ascii="Georgia" w:hAnsi="Georgia"/>
          <w:sz w:val="24"/>
        </w:rPr>
        <w:t>CJ</w:t>
      </w:r>
      <w:r w:rsidRPr="00155900">
        <w:rPr>
          <w:rFonts w:ascii="Georgia" w:hAnsi="Georgia"/>
          <w:sz w:val="24"/>
        </w:rPr>
        <w:t xml:space="preserve"> also with respect to EPC patents, as would the national courts</w:t>
      </w:r>
      <w:r>
        <w:rPr>
          <w:rFonts w:ascii="Georgia" w:hAnsi="Georgia"/>
          <w:sz w:val="24"/>
        </w:rPr>
        <w:t>, even if EPC patents have to be judged</w:t>
      </w:r>
      <w:r w:rsidRPr="00155900">
        <w:rPr>
          <w:rFonts w:ascii="Georgia" w:hAnsi="Georgia"/>
          <w:sz w:val="24"/>
        </w:rPr>
        <w:t>?</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In view of the importance of these questions one cannot argue that “probably” this will not happen. If one does not wish to see patent law as it has been developed and shaped by specialized judges over the last 40 years turned upside down, clear rules must be laid down which define the effects of the future patent rights</w:t>
      </w:r>
      <w:r>
        <w:rPr>
          <w:rFonts w:ascii="Georgia" w:hAnsi="Georgia"/>
          <w:sz w:val="24"/>
        </w:rPr>
        <w:t>. I</w:t>
      </w:r>
      <w:r w:rsidRPr="00155900">
        <w:rPr>
          <w:rFonts w:ascii="Georgia" w:hAnsi="Georgia"/>
          <w:sz w:val="24"/>
        </w:rPr>
        <w:t xml:space="preserve">f such a project is to remain attractive for users, one must definitely </w:t>
      </w:r>
      <w:r>
        <w:rPr>
          <w:rFonts w:ascii="Georgia" w:hAnsi="Georgia"/>
          <w:sz w:val="24"/>
        </w:rPr>
        <w:t xml:space="preserve">oppose any </w:t>
      </w:r>
      <w:r w:rsidRPr="00155900">
        <w:rPr>
          <w:rFonts w:ascii="Georgia" w:hAnsi="Georgia"/>
          <w:sz w:val="24"/>
        </w:rPr>
        <w:t>solution which will</w:t>
      </w:r>
      <w:r>
        <w:rPr>
          <w:rFonts w:ascii="Georgia" w:hAnsi="Georgia"/>
          <w:sz w:val="24"/>
        </w:rPr>
        <w:t xml:space="preserve"> change the EPC and which would </w:t>
      </w:r>
      <w:r w:rsidRPr="00155900">
        <w:rPr>
          <w:rFonts w:ascii="Georgia" w:hAnsi="Georgia"/>
          <w:sz w:val="24"/>
        </w:rPr>
        <w:t>make</w:t>
      </w:r>
      <w:r>
        <w:rPr>
          <w:rFonts w:ascii="Georgia" w:hAnsi="Georgia"/>
          <w:sz w:val="24"/>
        </w:rPr>
        <w:t xml:space="preserve"> its interpretation </w:t>
      </w:r>
      <w:r w:rsidRPr="00155900">
        <w:rPr>
          <w:rFonts w:ascii="Georgia" w:hAnsi="Georgia"/>
          <w:sz w:val="24"/>
        </w:rPr>
        <w:t xml:space="preserve">unpredictable </w:t>
      </w:r>
      <w:r>
        <w:rPr>
          <w:rFonts w:ascii="Georgia" w:hAnsi="Georgia"/>
          <w:sz w:val="24"/>
        </w:rPr>
        <w:t xml:space="preserve">and more costly </w:t>
      </w:r>
      <w:r w:rsidRPr="00155900">
        <w:rPr>
          <w:rFonts w:ascii="Georgia" w:hAnsi="Georgia"/>
          <w:sz w:val="24"/>
        </w:rPr>
        <w:t>than</w:t>
      </w:r>
      <w:r>
        <w:rPr>
          <w:rFonts w:ascii="Georgia" w:hAnsi="Georgia"/>
          <w:sz w:val="24"/>
        </w:rPr>
        <w:t xml:space="preserve"> it is</w:t>
      </w:r>
      <w:r w:rsidRPr="00155900">
        <w:rPr>
          <w:rFonts w:ascii="Georgia" w:hAnsi="Georgia"/>
          <w:sz w:val="24"/>
        </w:rPr>
        <w:t xml:space="preserve"> today. This means that one must work out a solution which maintains the most important corner stone that </w:t>
      </w:r>
      <w:r w:rsidRPr="00155900">
        <w:rPr>
          <w:rFonts w:ascii="Georgia" w:hAnsi="Georgia"/>
          <w:i/>
          <w:sz w:val="24"/>
        </w:rPr>
        <w:t>only experienced patent judge</w:t>
      </w:r>
      <w:r w:rsidRPr="00155900">
        <w:rPr>
          <w:rFonts w:ascii="Georgia" w:hAnsi="Georgia"/>
          <w:sz w:val="24"/>
        </w:rPr>
        <w:t>s can decide on patent infringement and validity, and this within the shortest possible time and at most affordable cost. This will not be possible with a patent court system integrated into the EU legal order.</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b/>
          <w:i/>
          <w:sz w:val="24"/>
        </w:rPr>
      </w:pPr>
      <w:r w:rsidRPr="00155900">
        <w:rPr>
          <w:rFonts w:ascii="Georgia" w:hAnsi="Georgia"/>
          <w:b/>
          <w:i/>
          <w:sz w:val="24"/>
        </w:rPr>
        <w:t>2. An international court for EPC patents</w:t>
      </w:r>
    </w:p>
    <w:p w:rsidR="00801430" w:rsidRPr="0015590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sz w:val="24"/>
        </w:rPr>
      </w:pPr>
      <w:r w:rsidRPr="00155900">
        <w:rPr>
          <w:rFonts w:ascii="Georgia" w:hAnsi="Georgia"/>
          <w:sz w:val="24"/>
        </w:rPr>
        <w:t>Is there a way out? This author has analyzed the Opinion of the Advocates General in two articles</w:t>
      </w:r>
      <w:r w:rsidRPr="00155900">
        <w:rPr>
          <w:rStyle w:val="Voetnootmarkering"/>
          <w:rFonts w:ascii="Georgia" w:hAnsi="Georgia"/>
          <w:sz w:val="24"/>
        </w:rPr>
        <w:footnoteReference w:id="24"/>
      </w:r>
      <w:r w:rsidRPr="00155900">
        <w:rPr>
          <w:rFonts w:ascii="Georgia" w:hAnsi="Georgia"/>
          <w:sz w:val="24"/>
        </w:rPr>
        <w:t xml:space="preserve">. The recommendation is to follow the guidance of the AGs </w:t>
      </w:r>
      <w:r>
        <w:rPr>
          <w:rFonts w:ascii="Georgia" w:hAnsi="Georgia"/>
          <w:sz w:val="24"/>
        </w:rPr>
        <w:t xml:space="preserve">- </w:t>
      </w:r>
      <w:r w:rsidRPr="00155900">
        <w:rPr>
          <w:rFonts w:ascii="Georgia" w:hAnsi="Georgia"/>
          <w:sz w:val="24"/>
        </w:rPr>
        <w:t xml:space="preserve">and the </w:t>
      </w:r>
      <w:r>
        <w:rPr>
          <w:rFonts w:ascii="Georgia" w:hAnsi="Georgia"/>
          <w:sz w:val="24"/>
        </w:rPr>
        <w:t>CJ to this effect -</w:t>
      </w:r>
      <w:r w:rsidRPr="00155900">
        <w:rPr>
          <w:rFonts w:ascii="Georgia" w:hAnsi="Georgia"/>
          <w:sz w:val="24"/>
        </w:rPr>
        <w:t xml:space="preserve"> and </w:t>
      </w:r>
      <w:r>
        <w:rPr>
          <w:rFonts w:ascii="Georgia" w:hAnsi="Georgia"/>
          <w:sz w:val="24"/>
        </w:rPr>
        <w:t xml:space="preserve">find perhaps different systems for </w:t>
      </w:r>
      <w:r w:rsidRPr="00155900">
        <w:rPr>
          <w:rFonts w:ascii="Georgia" w:hAnsi="Georgia"/>
          <w:sz w:val="24"/>
        </w:rPr>
        <w:t>treat</w:t>
      </w:r>
      <w:r>
        <w:rPr>
          <w:rFonts w:ascii="Georgia" w:hAnsi="Georgia"/>
          <w:sz w:val="24"/>
        </w:rPr>
        <w:t>ing</w:t>
      </w:r>
      <w:r w:rsidRPr="00155900">
        <w:rPr>
          <w:rFonts w:ascii="Georgia" w:hAnsi="Georgia"/>
          <w:sz w:val="24"/>
        </w:rPr>
        <w:t xml:space="preserve"> EPC patents </w:t>
      </w:r>
      <w:r>
        <w:rPr>
          <w:rFonts w:ascii="Georgia" w:hAnsi="Georgia"/>
          <w:sz w:val="24"/>
        </w:rPr>
        <w:t xml:space="preserve">on the one hand </w:t>
      </w:r>
      <w:r w:rsidRPr="00155900">
        <w:rPr>
          <w:rFonts w:ascii="Georgia" w:hAnsi="Georgia"/>
          <w:sz w:val="24"/>
        </w:rPr>
        <w:t>and Unitary patents</w:t>
      </w:r>
      <w:r>
        <w:rPr>
          <w:rFonts w:ascii="Georgia" w:hAnsi="Georgia"/>
          <w:sz w:val="24"/>
        </w:rPr>
        <w:t xml:space="preserve"> on the other</w:t>
      </w:r>
      <w:r w:rsidRPr="00155900">
        <w:rPr>
          <w:rFonts w:ascii="Georgia" w:hAnsi="Georgia"/>
          <w:sz w:val="24"/>
        </w:rPr>
        <w:t>. The Advocates General had expressly stated that</w:t>
      </w:r>
    </w:p>
    <w:p w:rsidR="00801430" w:rsidRPr="00155900" w:rsidRDefault="00801430" w:rsidP="00864E96">
      <w:pPr>
        <w:spacing w:line="360" w:lineRule="auto"/>
        <w:ind w:left="1155"/>
        <w:rPr>
          <w:rFonts w:ascii="Georgia" w:hAnsi="Georgia"/>
          <w:sz w:val="24"/>
        </w:rPr>
      </w:pPr>
    </w:p>
    <w:p w:rsidR="00801430" w:rsidRPr="00155900" w:rsidRDefault="00801430" w:rsidP="00960822">
      <w:pPr>
        <w:spacing w:line="240" w:lineRule="auto"/>
        <w:ind w:left="1575"/>
        <w:jc w:val="left"/>
        <w:rPr>
          <w:rFonts w:ascii="Georgia" w:hAnsi="Georgia"/>
          <w:i/>
          <w:sz w:val="24"/>
        </w:rPr>
      </w:pPr>
      <w:r w:rsidRPr="00155900">
        <w:rPr>
          <w:rFonts w:ascii="Georgia" w:hAnsi="Georgia"/>
          <w:i/>
          <w:sz w:val="24"/>
        </w:rPr>
        <w:t xml:space="preserve">…. the Member States are free to assign [the competences </w:t>
      </w:r>
      <w:r w:rsidRPr="00155900">
        <w:rPr>
          <w:rFonts w:ascii="Georgia" w:hAnsi="Georgia"/>
          <w:i/>
          <w:sz w:val="24"/>
          <w:u w:val="single"/>
        </w:rPr>
        <w:t xml:space="preserve">of the future PC concerning the </w:t>
      </w:r>
      <w:r w:rsidRPr="00155900">
        <w:rPr>
          <w:rFonts w:ascii="Georgia" w:hAnsi="Georgia"/>
          <w:i/>
          <w:iCs/>
          <w:sz w:val="24"/>
          <w:u w:val="single"/>
        </w:rPr>
        <w:t>European patent]</w:t>
      </w:r>
      <w:r w:rsidRPr="00155900">
        <w:rPr>
          <w:rFonts w:ascii="Georgia" w:hAnsi="Georgia"/>
          <w:i/>
          <w:sz w:val="24"/>
        </w:rPr>
        <w:t xml:space="preserve"> to an international body, created by mutual consent and having the vocation of being “their” common court</w:t>
      </w:r>
      <w:r w:rsidRPr="00155900">
        <w:rPr>
          <w:rStyle w:val="Voetnootmarkering"/>
          <w:rFonts w:ascii="Georgia" w:hAnsi="Georgia"/>
          <w:i/>
          <w:sz w:val="24"/>
        </w:rPr>
        <w:footnoteReference w:id="25"/>
      </w:r>
      <w:r w:rsidRPr="00155900">
        <w:rPr>
          <w:rFonts w:ascii="Georgia" w:hAnsi="Georgia"/>
          <w:i/>
          <w:sz w:val="24"/>
        </w:rPr>
        <w:t>.</w:t>
      </w:r>
    </w:p>
    <w:p w:rsidR="00801430" w:rsidRPr="00155900" w:rsidRDefault="00801430" w:rsidP="00864E96">
      <w:pPr>
        <w:spacing w:line="360" w:lineRule="auto"/>
        <w:ind w:left="1155"/>
        <w:rPr>
          <w:rFonts w:ascii="Georgia" w:hAnsi="Georgia"/>
          <w:sz w:val="24"/>
        </w:rPr>
      </w:pPr>
    </w:p>
    <w:p w:rsidR="00801430" w:rsidRDefault="00801430" w:rsidP="00960822">
      <w:pPr>
        <w:spacing w:line="360" w:lineRule="auto"/>
        <w:ind w:left="1155"/>
        <w:rPr>
          <w:rFonts w:ascii="Georgia" w:hAnsi="Georgia"/>
          <w:sz w:val="24"/>
        </w:rPr>
      </w:pPr>
      <w:r w:rsidRPr="00155900">
        <w:rPr>
          <w:rFonts w:ascii="Georgia" w:hAnsi="Georgia"/>
          <w:sz w:val="24"/>
        </w:rPr>
        <w:t>The C</w:t>
      </w:r>
      <w:r>
        <w:rPr>
          <w:rFonts w:ascii="Georgia" w:hAnsi="Georgia"/>
          <w:sz w:val="24"/>
        </w:rPr>
        <w:t xml:space="preserve">J – evidently having a similar proposal in mind - </w:t>
      </w:r>
      <w:r w:rsidRPr="00155900">
        <w:rPr>
          <w:rFonts w:ascii="Georgia" w:hAnsi="Georgia"/>
          <w:sz w:val="24"/>
        </w:rPr>
        <w:t xml:space="preserve"> emphasiz</w:t>
      </w:r>
      <w:r>
        <w:rPr>
          <w:rFonts w:ascii="Georgia" w:hAnsi="Georgia"/>
          <w:sz w:val="24"/>
        </w:rPr>
        <w:t>es</w:t>
      </w:r>
      <w:r w:rsidRPr="00155900">
        <w:rPr>
          <w:rFonts w:ascii="Georgia" w:hAnsi="Georgia"/>
          <w:sz w:val="24"/>
        </w:rPr>
        <w:t xml:space="preserve"> in par. 59 that its Opinion does not concern</w:t>
      </w:r>
    </w:p>
    <w:p w:rsidR="00801430" w:rsidRPr="00155900" w:rsidRDefault="00801430" w:rsidP="00960822">
      <w:pPr>
        <w:spacing w:line="360" w:lineRule="auto"/>
        <w:ind w:left="1155"/>
        <w:rPr>
          <w:rFonts w:ascii="Georgia" w:hAnsi="Georgia"/>
          <w:color w:val="000000"/>
          <w:sz w:val="24"/>
        </w:rPr>
      </w:pPr>
    </w:p>
    <w:p w:rsidR="00801430" w:rsidRPr="00155900" w:rsidRDefault="00801430" w:rsidP="00960822">
      <w:pPr>
        <w:spacing w:line="240" w:lineRule="auto"/>
        <w:ind w:left="1575"/>
        <w:rPr>
          <w:rFonts w:ascii="Georgia" w:hAnsi="Georgia"/>
          <w:color w:val="000000"/>
          <w:sz w:val="24"/>
        </w:rPr>
      </w:pPr>
      <w:r w:rsidRPr="00155900">
        <w:rPr>
          <w:rFonts w:ascii="Georgia" w:hAnsi="Georgia"/>
          <w:i/>
          <w:color w:val="000000"/>
          <w:sz w:val="24"/>
        </w:rPr>
        <w:t>the powers of the PC in the field of the European patent, but its powers relating to the future Community patent</w:t>
      </w:r>
      <w:r w:rsidRPr="00155900">
        <w:rPr>
          <w:rFonts w:ascii="Georgia" w:hAnsi="Georgia"/>
          <w:color w:val="000000"/>
          <w:sz w:val="24"/>
        </w:rPr>
        <w:t>.</w:t>
      </w:r>
    </w:p>
    <w:p w:rsidR="00801430" w:rsidRPr="00155900" w:rsidRDefault="00801430" w:rsidP="00864E96">
      <w:pPr>
        <w:spacing w:line="360" w:lineRule="auto"/>
        <w:ind w:left="1155"/>
        <w:rPr>
          <w:rFonts w:ascii="Georgia" w:hAnsi="Georgia"/>
          <w:sz w:val="24"/>
        </w:rPr>
      </w:pPr>
    </w:p>
    <w:p w:rsidR="00801430" w:rsidRPr="001A66FE" w:rsidRDefault="00801430" w:rsidP="00960822">
      <w:pPr>
        <w:spacing w:line="360" w:lineRule="auto"/>
        <w:ind w:left="1155"/>
        <w:rPr>
          <w:rFonts w:ascii="Georgia" w:hAnsi="Georgia"/>
          <w:sz w:val="24"/>
        </w:rPr>
      </w:pPr>
      <w:r>
        <w:rPr>
          <w:rFonts w:ascii="Georgia" w:hAnsi="Georgia"/>
          <w:sz w:val="24"/>
        </w:rPr>
        <w:t xml:space="preserve">Most users will agree that it is now high time to overcome the deadlock. Instead of trying to resolve again and again political questions which cannot be resolved one should </w:t>
      </w:r>
      <w:r w:rsidRPr="00155900">
        <w:rPr>
          <w:rFonts w:ascii="Georgia" w:hAnsi="Georgia"/>
          <w:sz w:val="24"/>
        </w:rPr>
        <w:t xml:space="preserve">examine </w:t>
      </w:r>
      <w:r>
        <w:rPr>
          <w:rFonts w:ascii="Georgia" w:hAnsi="Georgia"/>
          <w:sz w:val="24"/>
        </w:rPr>
        <w:t xml:space="preserve">how one can - as a first step –reach the goal of a </w:t>
      </w:r>
      <w:r w:rsidRPr="001A66FE">
        <w:rPr>
          <w:rFonts w:ascii="Georgia" w:hAnsi="Georgia"/>
          <w:sz w:val="24"/>
        </w:rPr>
        <w:t>common European patent litigation court</w:t>
      </w:r>
      <w:r>
        <w:rPr>
          <w:rFonts w:ascii="Georgia" w:hAnsi="Georgia"/>
          <w:sz w:val="24"/>
        </w:rPr>
        <w:t xml:space="preserve"> by a different avenue</w:t>
      </w:r>
      <w:r w:rsidRPr="001A66FE">
        <w:rPr>
          <w:rFonts w:ascii="Georgia" w:hAnsi="Georgia"/>
          <w:sz w:val="24"/>
        </w:rPr>
        <w:t>. One c</w:t>
      </w:r>
      <w:r>
        <w:rPr>
          <w:rFonts w:ascii="Georgia" w:hAnsi="Georgia"/>
          <w:sz w:val="24"/>
        </w:rPr>
        <w:t>ould use the basic structure of</w:t>
      </w:r>
      <w:r w:rsidRPr="001A66FE">
        <w:rPr>
          <w:rFonts w:ascii="Georgia" w:hAnsi="Georgia"/>
          <w:sz w:val="24"/>
        </w:rPr>
        <w:t xml:space="preserve"> the EPLA text with the institutional and procedural improvements from the EEUPC draft, e.g.</w:t>
      </w:r>
      <w:r>
        <w:rPr>
          <w:rFonts w:ascii="Georgia" w:hAnsi="Georgia"/>
          <w:sz w:val="24"/>
        </w:rPr>
        <w:t xml:space="preserve"> </w:t>
      </w:r>
      <w:r w:rsidRPr="001A66FE">
        <w:rPr>
          <w:rFonts w:ascii="Georgia" w:hAnsi="Georgia"/>
          <w:sz w:val="24"/>
        </w:rPr>
        <w:t>on composition of panels, optional bifurcation and perhaps some other</w:t>
      </w:r>
      <w:r>
        <w:rPr>
          <w:rFonts w:ascii="Georgia" w:hAnsi="Georgia"/>
          <w:sz w:val="24"/>
        </w:rPr>
        <w:t xml:space="preserve"> concepts</w:t>
      </w:r>
      <w:r w:rsidRPr="001A66FE">
        <w:rPr>
          <w:rFonts w:ascii="Georgia" w:hAnsi="Georgia"/>
          <w:sz w:val="24"/>
        </w:rPr>
        <w:t xml:space="preserve">, and finally begin with a more realistic attempt for an international litigation system, instead of hurting oneself again and again when trying to crack the legal fortress of the EU Treaties. The Commission has promised repeatedly “it will be the last time”, and </w:t>
      </w:r>
      <w:r>
        <w:rPr>
          <w:rFonts w:ascii="Georgia" w:hAnsi="Georgia"/>
          <w:sz w:val="24"/>
        </w:rPr>
        <w:t xml:space="preserve">after the events of the last four months most observers </w:t>
      </w:r>
      <w:r w:rsidRPr="001A66FE">
        <w:rPr>
          <w:rFonts w:ascii="Georgia" w:hAnsi="Georgia"/>
          <w:sz w:val="24"/>
        </w:rPr>
        <w:t xml:space="preserve">would rather prefer a break </w:t>
      </w:r>
      <w:r>
        <w:rPr>
          <w:rFonts w:ascii="Georgia" w:hAnsi="Georgia"/>
          <w:sz w:val="24"/>
        </w:rPr>
        <w:t xml:space="preserve">- </w:t>
      </w:r>
      <w:r w:rsidRPr="001A66FE">
        <w:rPr>
          <w:rFonts w:ascii="Georgia" w:hAnsi="Georgia"/>
          <w:sz w:val="24"/>
        </w:rPr>
        <w:t>or a new approach into a different direction with a different project.</w:t>
      </w:r>
    </w:p>
    <w:p w:rsidR="00801430" w:rsidRPr="001A66FE" w:rsidRDefault="00801430" w:rsidP="00960822">
      <w:pPr>
        <w:spacing w:line="360" w:lineRule="auto"/>
        <w:ind w:left="1155"/>
        <w:rPr>
          <w:rFonts w:ascii="Georgia" w:hAnsi="Georgia"/>
          <w:sz w:val="24"/>
        </w:rPr>
      </w:pPr>
    </w:p>
    <w:p w:rsidR="00801430" w:rsidRPr="001A66FE" w:rsidRDefault="00801430" w:rsidP="00960822">
      <w:pPr>
        <w:spacing w:line="360" w:lineRule="auto"/>
        <w:ind w:left="1155"/>
        <w:rPr>
          <w:rFonts w:ascii="Georgia" w:hAnsi="Georgia"/>
          <w:sz w:val="24"/>
        </w:rPr>
      </w:pPr>
      <w:r w:rsidRPr="001A66FE">
        <w:rPr>
          <w:rFonts w:ascii="Georgia" w:hAnsi="Georgia"/>
          <w:sz w:val="24"/>
        </w:rPr>
        <w:t xml:space="preserve">If </w:t>
      </w:r>
      <w:r>
        <w:rPr>
          <w:rFonts w:ascii="Georgia" w:hAnsi="Georgia"/>
          <w:sz w:val="24"/>
        </w:rPr>
        <w:t>however</w:t>
      </w:r>
      <w:r w:rsidRPr="001A66FE">
        <w:rPr>
          <w:rFonts w:ascii="Georgia" w:hAnsi="Georgia"/>
          <w:sz w:val="24"/>
        </w:rPr>
        <w:t xml:space="preserve"> no </w:t>
      </w:r>
      <w:r>
        <w:rPr>
          <w:rFonts w:ascii="Georgia" w:hAnsi="Georgia"/>
          <w:sz w:val="24"/>
        </w:rPr>
        <w:t>consensus</w:t>
      </w:r>
      <w:r w:rsidRPr="001A66FE">
        <w:rPr>
          <w:rFonts w:ascii="Georgia" w:hAnsi="Georgia"/>
          <w:sz w:val="24"/>
        </w:rPr>
        <w:t xml:space="preserve"> can be reached and </w:t>
      </w:r>
      <w:r>
        <w:rPr>
          <w:rFonts w:ascii="Georgia" w:hAnsi="Georgia"/>
          <w:sz w:val="24"/>
        </w:rPr>
        <w:t xml:space="preserve">some member states </w:t>
      </w:r>
      <w:r w:rsidRPr="001A66FE">
        <w:rPr>
          <w:rFonts w:ascii="Georgia" w:hAnsi="Georgia"/>
          <w:sz w:val="24"/>
        </w:rPr>
        <w:t xml:space="preserve">are convinced that one should rather, for </w:t>
      </w:r>
      <w:r>
        <w:rPr>
          <w:rFonts w:ascii="Georgia" w:hAnsi="Georgia"/>
          <w:sz w:val="24"/>
        </w:rPr>
        <w:t>one (?) more</w:t>
      </w:r>
      <w:r w:rsidRPr="001A66FE">
        <w:rPr>
          <w:rFonts w:ascii="Georgia" w:hAnsi="Georgia"/>
          <w:sz w:val="24"/>
        </w:rPr>
        <w:t xml:space="preserve"> time, try to solve the most complicated political questions first </w:t>
      </w:r>
      <w:r>
        <w:rPr>
          <w:rFonts w:ascii="Georgia" w:hAnsi="Georgia"/>
          <w:sz w:val="24"/>
        </w:rPr>
        <w:t>even though</w:t>
      </w:r>
      <w:r w:rsidRPr="001A66FE">
        <w:rPr>
          <w:rFonts w:ascii="Georgia" w:hAnsi="Georgia"/>
          <w:sz w:val="24"/>
        </w:rPr>
        <w:t xml:space="preserve"> agreement </w:t>
      </w:r>
      <w:r>
        <w:rPr>
          <w:rFonts w:ascii="Georgia" w:hAnsi="Georgia"/>
          <w:sz w:val="24"/>
        </w:rPr>
        <w:t xml:space="preserve">on these questions </w:t>
      </w:r>
      <w:r w:rsidRPr="001A66FE">
        <w:rPr>
          <w:rFonts w:ascii="Georgia" w:hAnsi="Georgia"/>
          <w:sz w:val="24"/>
        </w:rPr>
        <w:t xml:space="preserve">remains an unrealistic dream, then one should rather shelve the </w:t>
      </w:r>
      <w:r>
        <w:rPr>
          <w:rFonts w:ascii="Georgia" w:hAnsi="Georgia"/>
          <w:sz w:val="24"/>
        </w:rPr>
        <w:t xml:space="preserve">whole </w:t>
      </w:r>
      <w:r w:rsidRPr="001A66FE">
        <w:rPr>
          <w:rFonts w:ascii="Georgia" w:hAnsi="Georgia"/>
          <w:sz w:val="24"/>
        </w:rPr>
        <w:t xml:space="preserve">project forever and devote time and efforts to harmonisation questions of the national courts which, one can only repeat it once more, have made great progress in this field over the last five or eight years.  </w:t>
      </w:r>
    </w:p>
    <w:p w:rsidR="00801430" w:rsidRPr="001A66FE" w:rsidRDefault="00801430" w:rsidP="00960822">
      <w:pPr>
        <w:spacing w:line="360" w:lineRule="auto"/>
        <w:ind w:left="1155"/>
        <w:rPr>
          <w:rFonts w:ascii="Georgia" w:hAnsi="Georgia"/>
          <w:sz w:val="24"/>
        </w:rPr>
      </w:pPr>
    </w:p>
    <w:p w:rsidR="00801430" w:rsidRDefault="00801430" w:rsidP="00864E96">
      <w:pPr>
        <w:spacing w:line="360" w:lineRule="auto"/>
        <w:ind w:left="1155"/>
        <w:rPr>
          <w:rFonts w:ascii="Georgia" w:hAnsi="Georgia"/>
          <w:color w:val="000000"/>
          <w:sz w:val="24"/>
        </w:rPr>
      </w:pPr>
      <w:r>
        <w:rPr>
          <w:rFonts w:ascii="Georgia" w:hAnsi="Georgia"/>
          <w:sz w:val="24"/>
        </w:rPr>
        <w:t>If it is decided to go ahead with a new project, this needs to</w:t>
      </w:r>
      <w:r w:rsidRPr="001A66FE">
        <w:rPr>
          <w:rFonts w:ascii="Georgia" w:hAnsi="Georgia"/>
          <w:sz w:val="24"/>
        </w:rPr>
        <w:t xml:space="preserve"> be limited to EPC patents. “Limited” in this context is an understatement since 600 000 granted EP patents are waiting out there of which a not insignificant part is litigated daily before the</w:t>
      </w:r>
      <w:r w:rsidRPr="00155900">
        <w:rPr>
          <w:rFonts w:ascii="Georgia" w:hAnsi="Georgia"/>
          <w:sz w:val="24"/>
        </w:rPr>
        <w:t xml:space="preserve"> national courts. </w:t>
      </w:r>
      <w:r>
        <w:rPr>
          <w:rFonts w:ascii="Georgia" w:hAnsi="Georgia"/>
          <w:sz w:val="24"/>
        </w:rPr>
        <w:t>It would take a decade before the first unitary patent will be litigated, even if further work would continue in parallel. To hesitate any longer does not make sense, and it</w:t>
      </w:r>
      <w:r>
        <w:rPr>
          <w:rFonts w:ascii="Georgia" w:hAnsi="Georgia"/>
          <w:color w:val="000000"/>
          <w:sz w:val="24"/>
        </w:rPr>
        <w:t xml:space="preserve"> does not make sense to disregard the needs of the owners of EPC patents and start with much more complicated negotiations on a new text for an EU patent court system which might fulfil the requirements of the CJ, but not the needs of the users.</w:t>
      </w:r>
    </w:p>
    <w:p w:rsidR="00801430" w:rsidRDefault="00801430" w:rsidP="00864E96">
      <w:pPr>
        <w:spacing w:line="360" w:lineRule="auto"/>
        <w:ind w:left="1155"/>
        <w:rPr>
          <w:rFonts w:ascii="Georgia" w:hAnsi="Georgia"/>
          <w:sz w:val="24"/>
        </w:rPr>
      </w:pPr>
    </w:p>
    <w:p w:rsidR="00801430" w:rsidRPr="00155900" w:rsidRDefault="00801430" w:rsidP="00864E96">
      <w:pPr>
        <w:spacing w:line="360" w:lineRule="auto"/>
        <w:ind w:left="1155"/>
        <w:rPr>
          <w:rFonts w:ascii="Georgia" w:hAnsi="Georgia"/>
          <w:color w:val="000000"/>
          <w:sz w:val="24"/>
        </w:rPr>
      </w:pPr>
      <w:r>
        <w:rPr>
          <w:rFonts w:ascii="Georgia" w:hAnsi="Georgia"/>
          <w:sz w:val="24"/>
        </w:rPr>
        <w:t xml:space="preserve">If the </w:t>
      </w:r>
      <w:r w:rsidRPr="00155900">
        <w:rPr>
          <w:rFonts w:ascii="Georgia" w:hAnsi="Georgia"/>
          <w:sz w:val="24"/>
        </w:rPr>
        <w:t xml:space="preserve">acronym EPLA </w:t>
      </w:r>
      <w:r>
        <w:rPr>
          <w:rFonts w:ascii="Georgia" w:hAnsi="Georgia"/>
          <w:sz w:val="24"/>
        </w:rPr>
        <w:t>may raise</w:t>
      </w:r>
      <w:r w:rsidRPr="00155900">
        <w:rPr>
          <w:rFonts w:ascii="Georgia" w:hAnsi="Georgia"/>
          <w:sz w:val="24"/>
        </w:rPr>
        <w:t xml:space="preserve"> controversies </w:t>
      </w:r>
      <w:r w:rsidRPr="00230142">
        <w:rPr>
          <w:rFonts w:ascii="Georgia" w:hAnsi="Georgia"/>
          <w:sz w:val="24"/>
        </w:rPr>
        <w:t>one may use the term “international court(s)” for the new project, if Europe is still interested in such a project at all. The author</w:t>
      </w:r>
      <w:r w:rsidRPr="00155900">
        <w:rPr>
          <w:rFonts w:ascii="Georgia" w:hAnsi="Georgia"/>
          <w:color w:val="000000"/>
          <w:sz w:val="24"/>
        </w:rPr>
        <w:t xml:space="preserve"> is well aware that this proposal will result in political discussions for two reasons:</w:t>
      </w:r>
    </w:p>
    <w:p w:rsidR="00801430" w:rsidRPr="00155900" w:rsidRDefault="00801430" w:rsidP="00864E96">
      <w:pPr>
        <w:spacing w:line="240" w:lineRule="auto"/>
        <w:ind w:left="1155"/>
        <w:rPr>
          <w:rFonts w:ascii="Georgia" w:hAnsi="Georgia"/>
          <w:color w:val="000000"/>
          <w:sz w:val="24"/>
        </w:rPr>
      </w:pPr>
    </w:p>
    <w:p w:rsidR="00801430" w:rsidRPr="00155900" w:rsidRDefault="00801430" w:rsidP="00864E96">
      <w:pPr>
        <w:spacing w:line="240" w:lineRule="auto"/>
        <w:ind w:left="1155"/>
        <w:rPr>
          <w:rFonts w:ascii="Georgia" w:hAnsi="Georgia"/>
          <w:color w:val="000000"/>
          <w:sz w:val="24"/>
        </w:rPr>
      </w:pPr>
      <w:r w:rsidRPr="00155900">
        <w:rPr>
          <w:rFonts w:ascii="Georgia" w:hAnsi="Georgia"/>
          <w:color w:val="000000"/>
          <w:sz w:val="24"/>
        </w:rPr>
        <w:t xml:space="preserve">(1) At least one member country prefers a solution under the roof of the EU and would even vote for </w:t>
      </w:r>
      <w:r>
        <w:rPr>
          <w:rFonts w:ascii="Georgia" w:hAnsi="Georgia"/>
          <w:color w:val="000000"/>
          <w:sz w:val="24"/>
        </w:rPr>
        <w:t xml:space="preserve">the CJ as </w:t>
      </w:r>
      <w:r w:rsidRPr="00155900">
        <w:rPr>
          <w:rFonts w:ascii="Georgia" w:hAnsi="Georgia"/>
          <w:color w:val="000000"/>
          <w:sz w:val="24"/>
        </w:rPr>
        <w:t>a third legal instance</w:t>
      </w:r>
      <w:r>
        <w:rPr>
          <w:rFonts w:ascii="Georgia" w:hAnsi="Georgia"/>
          <w:color w:val="000000"/>
          <w:sz w:val="24"/>
        </w:rPr>
        <w:t xml:space="preserve"> within the patent court system</w:t>
      </w:r>
      <w:r w:rsidRPr="00155900">
        <w:rPr>
          <w:rFonts w:ascii="Georgia" w:hAnsi="Georgia"/>
          <w:color w:val="000000"/>
          <w:sz w:val="24"/>
        </w:rPr>
        <w:t xml:space="preserve">. Whether this also encompasses an objection against an international court </w:t>
      </w:r>
      <w:r>
        <w:rPr>
          <w:rFonts w:ascii="Georgia" w:hAnsi="Georgia"/>
          <w:color w:val="000000"/>
          <w:sz w:val="24"/>
        </w:rPr>
        <w:t>as a first step (</w:t>
      </w:r>
      <w:r w:rsidRPr="00155900">
        <w:rPr>
          <w:rFonts w:ascii="Georgia" w:hAnsi="Georgia"/>
          <w:color w:val="000000"/>
          <w:sz w:val="24"/>
        </w:rPr>
        <w:t>as far as it is not called EPLA</w:t>
      </w:r>
      <w:r>
        <w:rPr>
          <w:rFonts w:ascii="Georgia" w:hAnsi="Georgia"/>
          <w:color w:val="000000"/>
          <w:sz w:val="24"/>
        </w:rPr>
        <w:t>)</w:t>
      </w:r>
      <w:r w:rsidRPr="00155900">
        <w:rPr>
          <w:rFonts w:ascii="Georgia" w:hAnsi="Georgia"/>
          <w:color w:val="000000"/>
          <w:sz w:val="24"/>
        </w:rPr>
        <w:t xml:space="preserve"> </w:t>
      </w:r>
      <w:r>
        <w:rPr>
          <w:rFonts w:ascii="Georgia" w:hAnsi="Georgia"/>
          <w:color w:val="000000"/>
          <w:sz w:val="24"/>
        </w:rPr>
        <w:t>is not known at this point. The</w:t>
      </w:r>
      <w:r w:rsidRPr="00155900">
        <w:rPr>
          <w:rFonts w:ascii="Georgia" w:hAnsi="Georgia"/>
          <w:color w:val="000000"/>
          <w:sz w:val="24"/>
        </w:rPr>
        <w:t xml:space="preserve"> fact that the </w:t>
      </w:r>
      <w:r>
        <w:rPr>
          <w:rFonts w:ascii="Georgia" w:hAnsi="Georgia"/>
          <w:color w:val="000000"/>
          <w:sz w:val="24"/>
        </w:rPr>
        <w:t>CJ</w:t>
      </w:r>
      <w:r w:rsidRPr="00155900">
        <w:rPr>
          <w:rFonts w:ascii="Georgia" w:hAnsi="Georgia"/>
          <w:color w:val="000000"/>
          <w:sz w:val="24"/>
        </w:rPr>
        <w:t xml:space="preserve"> has now made it entirely clear that it wants to see a different treatment of EU and EPC patents</w:t>
      </w:r>
      <w:r>
        <w:rPr>
          <w:rFonts w:ascii="Georgia" w:hAnsi="Georgia"/>
          <w:color w:val="000000"/>
          <w:sz w:val="24"/>
        </w:rPr>
        <w:t xml:space="preserve"> may lead to a new evaluation here</w:t>
      </w:r>
      <w:r w:rsidRPr="00155900">
        <w:rPr>
          <w:rFonts w:ascii="Georgia" w:hAnsi="Georgia"/>
          <w:color w:val="000000"/>
          <w:sz w:val="24"/>
        </w:rPr>
        <w:t xml:space="preserve">. </w:t>
      </w:r>
    </w:p>
    <w:p w:rsidR="00801430" w:rsidRPr="00155900" w:rsidRDefault="00801430" w:rsidP="00864E96">
      <w:pPr>
        <w:spacing w:line="240" w:lineRule="auto"/>
        <w:ind w:left="1155"/>
        <w:rPr>
          <w:rFonts w:ascii="Georgia" w:hAnsi="Georgia"/>
          <w:color w:val="000000"/>
          <w:sz w:val="24"/>
        </w:rPr>
      </w:pPr>
    </w:p>
    <w:p w:rsidR="00801430" w:rsidRPr="00155900" w:rsidRDefault="00801430" w:rsidP="00864E96">
      <w:pPr>
        <w:spacing w:line="240" w:lineRule="auto"/>
        <w:ind w:left="1155"/>
        <w:rPr>
          <w:rFonts w:ascii="Georgia" w:hAnsi="Georgia"/>
          <w:color w:val="000000"/>
          <w:sz w:val="24"/>
        </w:rPr>
      </w:pPr>
      <w:r w:rsidRPr="00155900">
        <w:rPr>
          <w:rFonts w:ascii="Georgia" w:hAnsi="Georgia"/>
          <w:color w:val="000000"/>
          <w:sz w:val="24"/>
        </w:rPr>
        <w:t>(2) The Commission might fear that when it gives up its objections against a non-EU international court system and litigation under such a system will start working</w:t>
      </w:r>
      <w:r>
        <w:rPr>
          <w:rFonts w:ascii="Georgia" w:hAnsi="Georgia"/>
          <w:color w:val="000000"/>
          <w:sz w:val="24"/>
        </w:rPr>
        <w:t xml:space="preserve"> one day</w:t>
      </w:r>
      <w:r w:rsidRPr="00155900">
        <w:rPr>
          <w:rFonts w:ascii="Georgia" w:hAnsi="Georgia"/>
          <w:color w:val="000000"/>
          <w:sz w:val="24"/>
        </w:rPr>
        <w:t xml:space="preserve">, </w:t>
      </w:r>
      <w:r>
        <w:rPr>
          <w:rFonts w:ascii="Georgia" w:hAnsi="Georgia"/>
          <w:color w:val="000000"/>
          <w:sz w:val="24"/>
        </w:rPr>
        <w:t xml:space="preserve">it </w:t>
      </w:r>
      <w:r w:rsidRPr="00155900">
        <w:rPr>
          <w:rFonts w:ascii="Georgia" w:hAnsi="Georgia"/>
          <w:color w:val="000000"/>
          <w:sz w:val="24"/>
        </w:rPr>
        <w:t xml:space="preserve">might work so well that users after some time are no longer interested in an EU system which then </w:t>
      </w:r>
      <w:r>
        <w:rPr>
          <w:rFonts w:ascii="Georgia" w:hAnsi="Georgia"/>
          <w:color w:val="000000"/>
          <w:sz w:val="24"/>
        </w:rPr>
        <w:t>would have to be abandoned because it cannot compete</w:t>
      </w:r>
      <w:r w:rsidRPr="00155900">
        <w:rPr>
          <w:rFonts w:ascii="Georgia" w:hAnsi="Georgia"/>
          <w:color w:val="000000"/>
          <w:sz w:val="24"/>
        </w:rPr>
        <w:t xml:space="preserve"> with the international EPC court.</w:t>
      </w:r>
    </w:p>
    <w:p w:rsidR="00801430" w:rsidRPr="00155900" w:rsidRDefault="00801430" w:rsidP="00864E96">
      <w:pPr>
        <w:spacing w:line="240" w:lineRule="auto"/>
        <w:ind w:left="1155"/>
        <w:rPr>
          <w:rFonts w:ascii="Georgia" w:hAnsi="Georgia"/>
          <w:color w:val="000000"/>
          <w:sz w:val="24"/>
        </w:rPr>
      </w:pPr>
    </w:p>
    <w:p w:rsidR="00801430" w:rsidRPr="00155900" w:rsidRDefault="00801430" w:rsidP="00864E96">
      <w:pPr>
        <w:spacing w:line="240" w:lineRule="auto"/>
        <w:ind w:left="1155"/>
        <w:rPr>
          <w:rFonts w:ascii="Georgia" w:hAnsi="Georgia"/>
          <w:color w:val="000000"/>
          <w:sz w:val="24"/>
        </w:rPr>
      </w:pPr>
    </w:p>
    <w:p w:rsidR="00801430" w:rsidRPr="00155900" w:rsidRDefault="00801430" w:rsidP="00864E96">
      <w:pPr>
        <w:spacing w:line="360" w:lineRule="auto"/>
        <w:ind w:left="1155"/>
        <w:rPr>
          <w:rFonts w:ascii="Georgia" w:hAnsi="Georgia"/>
          <w:color w:val="000000"/>
          <w:sz w:val="24"/>
        </w:rPr>
      </w:pPr>
      <w:r>
        <w:rPr>
          <w:rFonts w:ascii="Georgia" w:hAnsi="Georgia"/>
          <w:color w:val="000000"/>
          <w:sz w:val="24"/>
        </w:rPr>
        <w:t>T</w:t>
      </w:r>
      <w:r w:rsidRPr="00155900">
        <w:rPr>
          <w:rFonts w:ascii="Georgia" w:hAnsi="Georgia"/>
          <w:color w:val="000000"/>
          <w:sz w:val="24"/>
        </w:rPr>
        <w:t xml:space="preserve">he political objection under (1) </w:t>
      </w:r>
      <w:r>
        <w:rPr>
          <w:rFonts w:ascii="Georgia" w:hAnsi="Georgia"/>
          <w:color w:val="000000"/>
          <w:sz w:val="24"/>
        </w:rPr>
        <w:t xml:space="preserve">is not concerned </w:t>
      </w:r>
      <w:r w:rsidRPr="00155900">
        <w:rPr>
          <w:rFonts w:ascii="Georgia" w:hAnsi="Georgia"/>
          <w:color w:val="000000"/>
          <w:sz w:val="24"/>
        </w:rPr>
        <w:t>with the well-functioning of the system;</w:t>
      </w:r>
      <w:r>
        <w:rPr>
          <w:rFonts w:ascii="Georgia" w:hAnsi="Georgia"/>
          <w:color w:val="000000"/>
          <w:sz w:val="24"/>
        </w:rPr>
        <w:t xml:space="preserve"> therefore</w:t>
      </w:r>
      <w:r w:rsidRPr="00155900">
        <w:rPr>
          <w:rFonts w:ascii="Georgia" w:hAnsi="Georgia"/>
          <w:color w:val="000000"/>
          <w:sz w:val="24"/>
        </w:rPr>
        <w:t xml:space="preserve"> it would be surprising if a </w:t>
      </w:r>
      <w:r>
        <w:rPr>
          <w:rFonts w:ascii="Georgia" w:hAnsi="Georgia"/>
          <w:color w:val="000000"/>
          <w:sz w:val="24"/>
        </w:rPr>
        <w:t>project c</w:t>
      </w:r>
      <w:r w:rsidRPr="00155900">
        <w:rPr>
          <w:rFonts w:ascii="Georgia" w:hAnsi="Georgia"/>
          <w:color w:val="000000"/>
          <w:sz w:val="24"/>
        </w:rPr>
        <w:t xml:space="preserve">ould really be blocked by a </w:t>
      </w:r>
      <w:r>
        <w:rPr>
          <w:rFonts w:ascii="Georgia" w:hAnsi="Georgia"/>
          <w:color w:val="000000"/>
          <w:sz w:val="24"/>
        </w:rPr>
        <w:t xml:space="preserve">political </w:t>
      </w:r>
      <w:r w:rsidRPr="00155900">
        <w:rPr>
          <w:rFonts w:ascii="Georgia" w:hAnsi="Georgia"/>
          <w:color w:val="000000"/>
          <w:sz w:val="24"/>
        </w:rPr>
        <w:t xml:space="preserve">minority if it is supported by a clear majority in industry. </w:t>
      </w:r>
      <w:r>
        <w:rPr>
          <w:rFonts w:ascii="Georgia" w:hAnsi="Georgia"/>
          <w:color w:val="000000"/>
          <w:sz w:val="24"/>
        </w:rPr>
        <w:t xml:space="preserve">The preference for an EU umbrella </w:t>
      </w:r>
      <w:r w:rsidRPr="00155900">
        <w:rPr>
          <w:rFonts w:ascii="Georgia" w:hAnsi="Georgia"/>
          <w:color w:val="000000"/>
          <w:sz w:val="24"/>
        </w:rPr>
        <w:t>has never been convincingly explained</w:t>
      </w:r>
      <w:r>
        <w:rPr>
          <w:rFonts w:ascii="Georgia" w:hAnsi="Georgia"/>
          <w:color w:val="000000"/>
          <w:sz w:val="24"/>
        </w:rPr>
        <w:t xml:space="preserve"> with reference to EPC patents, since academics and practitioners have repeatedly proven that for a number of reasons </w:t>
      </w:r>
      <w:r w:rsidRPr="00155900">
        <w:rPr>
          <w:rFonts w:ascii="Georgia" w:hAnsi="Georgia"/>
          <w:color w:val="000000"/>
          <w:sz w:val="24"/>
        </w:rPr>
        <w:t xml:space="preserve">a court system for EPC patents </w:t>
      </w:r>
      <w:r>
        <w:rPr>
          <w:rFonts w:ascii="Georgia" w:hAnsi="Georgia"/>
          <w:color w:val="000000"/>
          <w:sz w:val="24"/>
        </w:rPr>
        <w:t>can only with great legal and practical difficulties be forced under</w:t>
      </w:r>
      <w:r w:rsidRPr="00155900">
        <w:rPr>
          <w:rFonts w:ascii="Georgia" w:hAnsi="Georgia"/>
          <w:color w:val="000000"/>
          <w:sz w:val="24"/>
        </w:rPr>
        <w:t xml:space="preserve"> the EU legal order.</w:t>
      </w:r>
    </w:p>
    <w:p w:rsidR="00801430" w:rsidRPr="00155900" w:rsidRDefault="00801430" w:rsidP="00864E96">
      <w:pPr>
        <w:spacing w:line="360" w:lineRule="auto"/>
        <w:ind w:left="1155"/>
        <w:rPr>
          <w:rFonts w:ascii="Georgia" w:hAnsi="Georgia"/>
          <w:color w:val="000000"/>
          <w:sz w:val="24"/>
        </w:rPr>
      </w:pPr>
    </w:p>
    <w:p w:rsidR="00801430" w:rsidRPr="00155900" w:rsidRDefault="00801430" w:rsidP="00864E96">
      <w:pPr>
        <w:spacing w:line="360" w:lineRule="auto"/>
        <w:ind w:left="1155"/>
        <w:rPr>
          <w:rFonts w:ascii="Georgia" w:hAnsi="Georgia"/>
          <w:color w:val="000000"/>
          <w:sz w:val="24"/>
        </w:rPr>
      </w:pPr>
      <w:r w:rsidRPr="00155900">
        <w:rPr>
          <w:rFonts w:ascii="Georgia" w:hAnsi="Georgia"/>
          <w:color w:val="000000"/>
          <w:sz w:val="24"/>
        </w:rPr>
        <w:t xml:space="preserve">As far as the second reservation goes, here the fears of the Commission may have a real basis. But would the </w:t>
      </w:r>
      <w:r>
        <w:rPr>
          <w:rFonts w:ascii="Georgia" w:hAnsi="Georgia"/>
          <w:color w:val="000000"/>
          <w:sz w:val="24"/>
        </w:rPr>
        <w:t>“Angst”</w:t>
      </w:r>
      <w:r w:rsidRPr="00155900">
        <w:rPr>
          <w:rFonts w:ascii="Georgia" w:hAnsi="Georgia"/>
          <w:color w:val="000000"/>
          <w:sz w:val="24"/>
        </w:rPr>
        <w:t xml:space="preserve"> that an international court system in</w:t>
      </w:r>
      <w:r>
        <w:rPr>
          <w:rFonts w:ascii="Georgia" w:hAnsi="Georgia"/>
          <w:color w:val="000000"/>
          <w:sz w:val="24"/>
        </w:rPr>
        <w:t>dependent of the EU legal order</w:t>
      </w:r>
      <w:r w:rsidRPr="00155900">
        <w:rPr>
          <w:rFonts w:ascii="Georgia" w:hAnsi="Georgia"/>
          <w:color w:val="000000"/>
          <w:sz w:val="24"/>
        </w:rPr>
        <w:t xml:space="preserve"> </w:t>
      </w:r>
      <w:r>
        <w:rPr>
          <w:rFonts w:ascii="Georgia" w:hAnsi="Georgia"/>
          <w:color w:val="000000"/>
          <w:sz w:val="24"/>
        </w:rPr>
        <w:t xml:space="preserve">might </w:t>
      </w:r>
      <w:r w:rsidRPr="00155900">
        <w:rPr>
          <w:rFonts w:ascii="Georgia" w:hAnsi="Georgia"/>
          <w:color w:val="000000"/>
          <w:sz w:val="24"/>
        </w:rPr>
        <w:t xml:space="preserve">become more attractive be a justification to impose a less attractive system on the users? Would it not rather be wise to work for </w:t>
      </w:r>
      <w:r>
        <w:rPr>
          <w:rFonts w:ascii="Georgia" w:hAnsi="Georgia"/>
          <w:color w:val="000000"/>
          <w:sz w:val="24"/>
        </w:rPr>
        <w:t xml:space="preserve">even more </w:t>
      </w:r>
      <w:r w:rsidRPr="00155900">
        <w:rPr>
          <w:rFonts w:ascii="Georgia" w:hAnsi="Georgia"/>
          <w:color w:val="000000"/>
          <w:sz w:val="24"/>
        </w:rPr>
        <w:t>attracti</w:t>
      </w:r>
      <w:r>
        <w:rPr>
          <w:rFonts w:ascii="Georgia" w:hAnsi="Georgia"/>
          <w:color w:val="000000"/>
          <w:sz w:val="24"/>
        </w:rPr>
        <w:t>ve features</w:t>
      </w:r>
      <w:r w:rsidRPr="00155900">
        <w:rPr>
          <w:rFonts w:ascii="Georgia" w:hAnsi="Georgia"/>
          <w:color w:val="000000"/>
          <w:sz w:val="24"/>
        </w:rPr>
        <w:t xml:space="preserve"> </w:t>
      </w:r>
      <w:r>
        <w:rPr>
          <w:rFonts w:ascii="Georgia" w:hAnsi="Georgia"/>
          <w:color w:val="000000"/>
          <w:sz w:val="24"/>
        </w:rPr>
        <w:t xml:space="preserve">of the EU court system </w:t>
      </w:r>
      <w:r w:rsidRPr="00155900">
        <w:rPr>
          <w:rFonts w:ascii="Georgia" w:hAnsi="Georgia"/>
          <w:color w:val="000000"/>
          <w:sz w:val="24"/>
        </w:rPr>
        <w:t xml:space="preserve">– cost is an important factor here - and give the users what they want, until the EU system </w:t>
      </w:r>
      <w:r>
        <w:rPr>
          <w:rFonts w:ascii="Georgia" w:hAnsi="Georgia"/>
          <w:color w:val="000000"/>
          <w:sz w:val="24"/>
        </w:rPr>
        <w:t xml:space="preserve">has </w:t>
      </w:r>
      <w:r w:rsidRPr="00155900">
        <w:rPr>
          <w:rFonts w:ascii="Georgia" w:hAnsi="Georgia"/>
          <w:color w:val="000000"/>
          <w:sz w:val="24"/>
        </w:rPr>
        <w:t xml:space="preserve">solved its legal problems and </w:t>
      </w:r>
      <w:r>
        <w:rPr>
          <w:rFonts w:ascii="Georgia" w:hAnsi="Georgia"/>
          <w:color w:val="000000"/>
          <w:sz w:val="24"/>
        </w:rPr>
        <w:t>then is perhaps able to offer</w:t>
      </w:r>
      <w:r w:rsidRPr="00155900">
        <w:rPr>
          <w:rFonts w:ascii="Georgia" w:hAnsi="Georgia"/>
          <w:color w:val="000000"/>
          <w:sz w:val="24"/>
        </w:rPr>
        <w:t xml:space="preserve"> a num</w:t>
      </w:r>
      <w:r>
        <w:rPr>
          <w:rFonts w:ascii="Georgia" w:hAnsi="Georgia"/>
          <w:color w:val="000000"/>
          <w:sz w:val="24"/>
        </w:rPr>
        <w:t>ber of</w:t>
      </w:r>
      <w:r w:rsidRPr="00155900">
        <w:rPr>
          <w:rFonts w:ascii="Georgia" w:hAnsi="Georgia"/>
          <w:color w:val="000000"/>
          <w:sz w:val="24"/>
        </w:rPr>
        <w:t xml:space="preserve"> advantages</w:t>
      </w:r>
      <w:r>
        <w:rPr>
          <w:rFonts w:ascii="Georgia" w:hAnsi="Georgia"/>
          <w:color w:val="000000"/>
          <w:sz w:val="24"/>
        </w:rPr>
        <w:t>, also as a result of experiences with the international EPC court</w:t>
      </w:r>
      <w:r w:rsidRPr="00155900">
        <w:rPr>
          <w:rFonts w:ascii="Georgia" w:hAnsi="Georgia"/>
          <w:color w:val="000000"/>
          <w:sz w:val="24"/>
        </w:rPr>
        <w:t>?</w:t>
      </w:r>
    </w:p>
    <w:p w:rsidR="00801430" w:rsidRPr="00155900" w:rsidRDefault="00801430" w:rsidP="00864E96">
      <w:pPr>
        <w:spacing w:line="360" w:lineRule="auto"/>
        <w:ind w:left="1155"/>
        <w:rPr>
          <w:rFonts w:ascii="Georgia" w:hAnsi="Georgia"/>
          <w:b/>
          <w:i/>
          <w:color w:val="000000"/>
          <w:sz w:val="24"/>
        </w:rPr>
      </w:pPr>
    </w:p>
    <w:p w:rsidR="00801430" w:rsidRPr="00155900" w:rsidRDefault="00801430" w:rsidP="00FD3738">
      <w:pPr>
        <w:numPr>
          <w:ilvl w:val="0"/>
          <w:numId w:val="49"/>
        </w:numPr>
        <w:spacing w:line="360" w:lineRule="auto"/>
        <w:rPr>
          <w:rFonts w:ascii="Georgia" w:hAnsi="Georgia"/>
          <w:b/>
          <w:i/>
          <w:color w:val="000000"/>
          <w:sz w:val="24"/>
        </w:rPr>
      </w:pPr>
      <w:r w:rsidRPr="00155900">
        <w:rPr>
          <w:rFonts w:ascii="Georgia" w:hAnsi="Georgia"/>
          <w:b/>
          <w:i/>
          <w:color w:val="000000"/>
          <w:sz w:val="24"/>
        </w:rPr>
        <w:t>No segregation of unitary patent and court system</w:t>
      </w:r>
    </w:p>
    <w:p w:rsidR="00801430" w:rsidRPr="00155900" w:rsidRDefault="00801430" w:rsidP="00FD3738">
      <w:pPr>
        <w:spacing w:line="360" w:lineRule="auto"/>
        <w:ind w:left="1155"/>
        <w:rPr>
          <w:rFonts w:ascii="Georgia" w:hAnsi="Georgia"/>
          <w:color w:val="000000"/>
          <w:sz w:val="24"/>
        </w:rPr>
      </w:pPr>
    </w:p>
    <w:p w:rsidR="00801430" w:rsidRPr="00155900" w:rsidRDefault="00801430" w:rsidP="00864E96">
      <w:pPr>
        <w:spacing w:line="360" w:lineRule="auto"/>
        <w:ind w:left="1155"/>
        <w:rPr>
          <w:rFonts w:ascii="Georgia" w:hAnsi="Georgia"/>
          <w:color w:val="000000"/>
          <w:sz w:val="24"/>
        </w:rPr>
      </w:pPr>
      <w:r>
        <w:rPr>
          <w:rFonts w:ascii="Georgia" w:hAnsi="Georgia"/>
          <w:color w:val="000000"/>
          <w:sz w:val="24"/>
        </w:rPr>
        <w:t xml:space="preserve">It would certainly require some time, negotiations, expert discussions and perhaps even a user survey before the new goals will become clear. </w:t>
      </w:r>
      <w:r w:rsidRPr="00155900">
        <w:rPr>
          <w:rFonts w:ascii="Georgia" w:hAnsi="Georgia"/>
          <w:color w:val="000000"/>
          <w:sz w:val="24"/>
        </w:rPr>
        <w:t>It would</w:t>
      </w:r>
      <w:r>
        <w:rPr>
          <w:rFonts w:ascii="Georgia" w:hAnsi="Georgia"/>
          <w:color w:val="000000"/>
          <w:sz w:val="24"/>
        </w:rPr>
        <w:t xml:space="preserve"> therefore</w:t>
      </w:r>
      <w:r w:rsidRPr="00155900">
        <w:rPr>
          <w:rFonts w:ascii="Georgia" w:hAnsi="Georgia"/>
          <w:color w:val="000000"/>
          <w:sz w:val="24"/>
        </w:rPr>
        <w:t xml:space="preserve"> be a dangerous mistake to segregate now the legal instruments for the Unitary patent from the discussion of the court system.</w:t>
      </w:r>
      <w:r>
        <w:rPr>
          <w:rFonts w:ascii="Georgia" w:hAnsi="Georgia"/>
          <w:color w:val="000000"/>
          <w:sz w:val="24"/>
        </w:rPr>
        <w:t xml:space="preserve"> If one talks to </w:t>
      </w:r>
      <w:r w:rsidRPr="00155900">
        <w:rPr>
          <w:rFonts w:ascii="Georgia" w:hAnsi="Georgia"/>
          <w:color w:val="000000"/>
          <w:sz w:val="24"/>
        </w:rPr>
        <w:t xml:space="preserve">users one will hear that they will not file one single Unitary patent as long as there is no court system in place. The above considerations show that it may still be a long way </w:t>
      </w:r>
      <w:r>
        <w:rPr>
          <w:rFonts w:ascii="Georgia" w:hAnsi="Georgia"/>
          <w:color w:val="000000"/>
          <w:sz w:val="24"/>
        </w:rPr>
        <w:t>with a high probability of failure. T</w:t>
      </w:r>
      <w:r w:rsidRPr="00155900">
        <w:rPr>
          <w:rFonts w:ascii="Georgia" w:hAnsi="Georgia"/>
          <w:color w:val="000000"/>
          <w:sz w:val="24"/>
        </w:rPr>
        <w:t>herefore</w:t>
      </w:r>
      <w:r>
        <w:rPr>
          <w:rFonts w:ascii="Georgia" w:hAnsi="Georgia"/>
          <w:color w:val="000000"/>
          <w:sz w:val="24"/>
        </w:rPr>
        <w:t>,</w:t>
      </w:r>
      <w:r w:rsidRPr="00155900">
        <w:rPr>
          <w:rFonts w:ascii="Georgia" w:hAnsi="Georgia"/>
          <w:color w:val="000000"/>
          <w:sz w:val="24"/>
        </w:rPr>
        <w:t xml:space="preserve"> it would certainly not be wise to risk an</w:t>
      </w:r>
      <w:r>
        <w:rPr>
          <w:rFonts w:ascii="Georgia" w:hAnsi="Georgia"/>
          <w:color w:val="000000"/>
          <w:sz w:val="24"/>
        </w:rPr>
        <w:t>other defeat</w:t>
      </w:r>
      <w:r w:rsidRPr="00155900">
        <w:rPr>
          <w:rFonts w:ascii="Georgia" w:hAnsi="Georgia"/>
          <w:color w:val="000000"/>
          <w:sz w:val="24"/>
        </w:rPr>
        <w:t xml:space="preserve"> for a project as important as this.</w:t>
      </w:r>
    </w:p>
    <w:p w:rsidR="00801430" w:rsidRPr="00155900" w:rsidRDefault="00801430" w:rsidP="00864E96">
      <w:pPr>
        <w:spacing w:line="360" w:lineRule="auto"/>
        <w:ind w:left="1155"/>
        <w:rPr>
          <w:rFonts w:ascii="Georgia" w:hAnsi="Georgia"/>
          <w:color w:val="000000"/>
          <w:sz w:val="24"/>
        </w:rPr>
      </w:pPr>
    </w:p>
    <w:p w:rsidR="00801430" w:rsidRPr="00155900" w:rsidRDefault="00801430" w:rsidP="00864E96">
      <w:pPr>
        <w:spacing w:line="360" w:lineRule="auto"/>
        <w:ind w:left="1155"/>
        <w:rPr>
          <w:rFonts w:ascii="Georgia" w:hAnsi="Georgia"/>
          <w:color w:val="000000"/>
          <w:sz w:val="24"/>
        </w:rPr>
      </w:pPr>
      <w:r w:rsidRPr="00155900">
        <w:rPr>
          <w:rFonts w:ascii="Georgia" w:hAnsi="Georgia"/>
          <w:color w:val="000000"/>
          <w:sz w:val="24"/>
        </w:rPr>
        <w:t>It remains</w:t>
      </w:r>
      <w:r>
        <w:rPr>
          <w:rFonts w:ascii="Georgia" w:hAnsi="Georgia"/>
          <w:color w:val="000000"/>
          <w:sz w:val="24"/>
        </w:rPr>
        <w:t xml:space="preserve"> that</w:t>
      </w:r>
      <w:r w:rsidRPr="00155900">
        <w:rPr>
          <w:rFonts w:ascii="Georgia" w:hAnsi="Georgia"/>
          <w:color w:val="000000"/>
          <w:sz w:val="24"/>
        </w:rPr>
        <w:t xml:space="preserve"> the </w:t>
      </w:r>
      <w:r>
        <w:rPr>
          <w:rFonts w:ascii="Georgia" w:hAnsi="Georgia"/>
          <w:color w:val="000000"/>
          <w:sz w:val="24"/>
        </w:rPr>
        <w:t>CJ</w:t>
      </w:r>
      <w:r w:rsidRPr="00155900">
        <w:rPr>
          <w:rFonts w:ascii="Georgia" w:hAnsi="Georgia"/>
          <w:color w:val="000000"/>
          <w:sz w:val="24"/>
        </w:rPr>
        <w:t xml:space="preserve"> obviously has closed the door for joining non-EU countries in the</w:t>
      </w:r>
      <w:r>
        <w:rPr>
          <w:rFonts w:ascii="Georgia" w:hAnsi="Georgia"/>
          <w:color w:val="000000"/>
          <w:sz w:val="24"/>
        </w:rPr>
        <w:t xml:space="preserve"> patent </w:t>
      </w:r>
      <w:r w:rsidRPr="00155900">
        <w:rPr>
          <w:rFonts w:ascii="Georgia" w:hAnsi="Georgia"/>
          <w:color w:val="000000"/>
          <w:sz w:val="24"/>
        </w:rPr>
        <w:t xml:space="preserve">litigation system </w:t>
      </w:r>
      <w:r>
        <w:rPr>
          <w:rFonts w:ascii="Georgia" w:hAnsi="Georgia"/>
          <w:color w:val="000000"/>
          <w:sz w:val="24"/>
        </w:rPr>
        <w:t>as it has been discussed so far. It has also e</w:t>
      </w:r>
      <w:r w:rsidRPr="00155900">
        <w:rPr>
          <w:rFonts w:ascii="Georgia" w:hAnsi="Georgia"/>
          <w:color w:val="000000"/>
          <w:sz w:val="24"/>
        </w:rPr>
        <w:t>xpressly</w:t>
      </w:r>
      <w:r>
        <w:rPr>
          <w:rFonts w:ascii="Georgia" w:hAnsi="Georgia"/>
          <w:color w:val="000000"/>
          <w:sz w:val="24"/>
        </w:rPr>
        <w:t xml:space="preserve"> excluded </w:t>
      </w:r>
      <w:r w:rsidRPr="00155900">
        <w:rPr>
          <w:rFonts w:ascii="Georgia" w:hAnsi="Georgia"/>
          <w:color w:val="000000"/>
          <w:sz w:val="24"/>
        </w:rPr>
        <w:t>EPC patents</w:t>
      </w:r>
      <w:r>
        <w:rPr>
          <w:rFonts w:ascii="Georgia" w:hAnsi="Georgia"/>
          <w:color w:val="000000"/>
          <w:sz w:val="24"/>
        </w:rPr>
        <w:t xml:space="preserve"> from its Opinion. Therefore</w:t>
      </w:r>
      <w:r w:rsidRPr="00155900">
        <w:rPr>
          <w:rFonts w:ascii="Georgia" w:hAnsi="Georgia"/>
          <w:color w:val="000000"/>
          <w:sz w:val="24"/>
        </w:rPr>
        <w:t xml:space="preserve"> </w:t>
      </w:r>
      <w:r>
        <w:rPr>
          <w:rFonts w:ascii="Georgia" w:hAnsi="Georgia"/>
          <w:color w:val="000000"/>
          <w:sz w:val="24"/>
        </w:rPr>
        <w:t>the solution of an</w:t>
      </w:r>
      <w:r w:rsidRPr="00155900">
        <w:rPr>
          <w:rFonts w:ascii="Georgia" w:hAnsi="Georgia"/>
          <w:color w:val="000000"/>
          <w:sz w:val="24"/>
        </w:rPr>
        <w:t xml:space="preserve"> international court for EPC patents </w:t>
      </w:r>
      <w:r>
        <w:rPr>
          <w:rFonts w:ascii="Georgia" w:hAnsi="Georgia"/>
          <w:color w:val="000000"/>
          <w:sz w:val="24"/>
        </w:rPr>
        <w:t xml:space="preserve">– at least as a first step for a common international patent court in Europe </w:t>
      </w:r>
      <w:r w:rsidRPr="00155900">
        <w:rPr>
          <w:rFonts w:ascii="Georgia" w:hAnsi="Georgia"/>
          <w:sz w:val="24"/>
        </w:rPr>
        <w:t>–</w:t>
      </w:r>
      <w:r>
        <w:rPr>
          <w:rFonts w:ascii="Georgia" w:hAnsi="Georgia"/>
          <w:color w:val="000000"/>
          <w:sz w:val="24"/>
        </w:rPr>
        <w:t xml:space="preserve"> comes again into focus, since the serious political and legal</w:t>
      </w:r>
      <w:r w:rsidRPr="00155900">
        <w:rPr>
          <w:rFonts w:ascii="Georgia" w:hAnsi="Georgia"/>
          <w:color w:val="000000"/>
          <w:sz w:val="24"/>
        </w:rPr>
        <w:t xml:space="preserve"> restrictions of the EU rules</w:t>
      </w:r>
      <w:r>
        <w:rPr>
          <w:rFonts w:ascii="Georgia" w:hAnsi="Georgia"/>
          <w:color w:val="000000"/>
          <w:sz w:val="24"/>
        </w:rPr>
        <w:t xml:space="preserve"> would not apply</w:t>
      </w:r>
      <w:r w:rsidRPr="00155900">
        <w:rPr>
          <w:rFonts w:ascii="Georgia" w:hAnsi="Georgia"/>
          <w:color w:val="000000"/>
          <w:sz w:val="24"/>
        </w:rPr>
        <w:t xml:space="preserve">.  </w:t>
      </w:r>
      <w:r>
        <w:rPr>
          <w:rFonts w:ascii="Georgia" w:hAnsi="Georgia"/>
          <w:color w:val="000000"/>
          <w:sz w:val="24"/>
        </w:rPr>
        <w:t xml:space="preserve"> </w:t>
      </w:r>
    </w:p>
    <w:p w:rsidR="00801430" w:rsidRPr="00155900" w:rsidRDefault="00801430" w:rsidP="00864E96">
      <w:pPr>
        <w:spacing w:line="360" w:lineRule="auto"/>
        <w:ind w:left="1155"/>
        <w:rPr>
          <w:rFonts w:ascii="Georgia" w:hAnsi="Georgia"/>
          <w:color w:val="000000"/>
          <w:sz w:val="24"/>
        </w:rPr>
      </w:pPr>
    </w:p>
    <w:p w:rsidR="00801430" w:rsidRPr="00155900" w:rsidRDefault="00801430" w:rsidP="00864E96">
      <w:pPr>
        <w:spacing w:line="360" w:lineRule="auto"/>
        <w:ind w:left="1155"/>
        <w:rPr>
          <w:rFonts w:ascii="Georgia" w:hAnsi="Georgia"/>
          <w:color w:val="000000"/>
          <w:sz w:val="24"/>
        </w:rPr>
      </w:pPr>
      <w:r w:rsidRPr="00155900">
        <w:rPr>
          <w:rFonts w:ascii="Georgia" w:hAnsi="Georgia"/>
          <w:sz w:val="24"/>
        </w:rPr>
        <w:t xml:space="preserve">Users </w:t>
      </w:r>
      <w:r>
        <w:rPr>
          <w:rFonts w:ascii="Georgia" w:hAnsi="Georgia"/>
          <w:sz w:val="24"/>
        </w:rPr>
        <w:t>should</w:t>
      </w:r>
      <w:r w:rsidRPr="00155900">
        <w:rPr>
          <w:rFonts w:ascii="Georgia" w:hAnsi="Georgia"/>
          <w:sz w:val="24"/>
        </w:rPr>
        <w:t xml:space="preserve"> therefore urge the Commission and </w:t>
      </w:r>
      <w:r>
        <w:rPr>
          <w:rFonts w:ascii="Georgia" w:hAnsi="Georgia"/>
          <w:sz w:val="24"/>
        </w:rPr>
        <w:t xml:space="preserve">the </w:t>
      </w:r>
      <w:r w:rsidRPr="00155900">
        <w:rPr>
          <w:rFonts w:ascii="Georgia" w:hAnsi="Georgia"/>
          <w:sz w:val="24"/>
        </w:rPr>
        <w:t xml:space="preserve">member states not to </w:t>
      </w:r>
      <w:r>
        <w:rPr>
          <w:rFonts w:ascii="Georgia" w:hAnsi="Georgia"/>
          <w:sz w:val="24"/>
        </w:rPr>
        <w:t xml:space="preserve">hastily </w:t>
      </w:r>
      <w:r w:rsidRPr="00155900">
        <w:rPr>
          <w:rFonts w:ascii="Georgia" w:hAnsi="Georgia"/>
          <w:sz w:val="24"/>
        </w:rPr>
        <w:t xml:space="preserve">conclude the Enhanced Cooperation agreement without </w:t>
      </w:r>
      <w:r>
        <w:rPr>
          <w:rFonts w:ascii="Georgia" w:hAnsi="Georgia"/>
          <w:sz w:val="24"/>
        </w:rPr>
        <w:t xml:space="preserve">having found </w:t>
      </w:r>
      <w:r w:rsidRPr="00155900">
        <w:rPr>
          <w:rFonts w:ascii="Georgia" w:hAnsi="Georgia"/>
          <w:sz w:val="24"/>
        </w:rPr>
        <w:t>an acceptable solution for the litigation system</w:t>
      </w:r>
      <w:r w:rsidRPr="00155900">
        <w:rPr>
          <w:rStyle w:val="Voetnootmarkering"/>
          <w:rFonts w:ascii="Georgia" w:hAnsi="Georgia"/>
          <w:sz w:val="24"/>
        </w:rPr>
        <w:footnoteReference w:id="26"/>
      </w:r>
      <w:r w:rsidRPr="00155900">
        <w:rPr>
          <w:rFonts w:ascii="Georgia" w:hAnsi="Georgia"/>
          <w:sz w:val="24"/>
        </w:rPr>
        <w:t>. In this context it should be examined in particular how the rules envisaged under the Uni</w:t>
      </w:r>
      <w:r>
        <w:rPr>
          <w:rFonts w:ascii="Georgia" w:hAnsi="Georgia"/>
          <w:sz w:val="24"/>
        </w:rPr>
        <w:t>tary patent could prevent</w:t>
      </w:r>
      <w:r w:rsidRPr="00155900">
        <w:rPr>
          <w:rFonts w:ascii="Georgia" w:hAnsi="Georgia"/>
          <w:sz w:val="24"/>
        </w:rPr>
        <w:t xml:space="preserve"> the result that substantive patent law</w:t>
      </w:r>
      <w:r>
        <w:rPr>
          <w:rFonts w:ascii="Georgia" w:hAnsi="Georgia"/>
          <w:sz w:val="24"/>
        </w:rPr>
        <w:t xml:space="preserve">, not only </w:t>
      </w:r>
      <w:r w:rsidRPr="00155900">
        <w:rPr>
          <w:rFonts w:ascii="Georgia" w:hAnsi="Georgia"/>
          <w:sz w:val="24"/>
        </w:rPr>
        <w:t>as far it is now contained in the EPC</w:t>
      </w:r>
      <w:r>
        <w:rPr>
          <w:rFonts w:ascii="Georgia" w:hAnsi="Georgia"/>
          <w:sz w:val="24"/>
        </w:rPr>
        <w:t>,</w:t>
      </w:r>
      <w:r w:rsidRPr="00155900">
        <w:rPr>
          <w:rFonts w:ascii="Georgia" w:hAnsi="Georgia"/>
          <w:sz w:val="24"/>
        </w:rPr>
        <w:t xml:space="preserve"> would become part of the EU legal order so that patentability requirements, questions of patent scope etc. would be interpreted in the future by </w:t>
      </w:r>
      <w:r>
        <w:rPr>
          <w:rFonts w:ascii="Georgia" w:hAnsi="Georgia"/>
          <w:sz w:val="24"/>
        </w:rPr>
        <w:t>judges without patent experience</w:t>
      </w:r>
      <w:r w:rsidRPr="00155900">
        <w:rPr>
          <w:rFonts w:ascii="Georgia" w:hAnsi="Georgia"/>
          <w:sz w:val="24"/>
        </w:rPr>
        <w:t>. Also this question is a serious concern of users and requires</w:t>
      </w:r>
      <w:r>
        <w:rPr>
          <w:rFonts w:ascii="Georgia" w:hAnsi="Georgia"/>
          <w:sz w:val="24"/>
        </w:rPr>
        <w:t xml:space="preserve"> a thorough debate</w:t>
      </w:r>
      <w:r w:rsidRPr="00155900">
        <w:rPr>
          <w:rFonts w:ascii="Georgia" w:hAnsi="Georgia"/>
          <w:sz w:val="24"/>
        </w:rPr>
        <w:t xml:space="preserve"> before any project can be properly evaluated by industry</w:t>
      </w:r>
      <w:r>
        <w:rPr>
          <w:rFonts w:ascii="Georgia" w:hAnsi="Georgia"/>
          <w:sz w:val="24"/>
        </w:rPr>
        <w:t xml:space="preserve">. It is difficult to accept if under an international court a body of generally accepted EPC case law is further developed which a decade later is threatened to be overturned by a court system which is intended to create its own substantive patent law. Such strategic and organisational questions must also be touched now so that the overall aim is not lost out of sight. </w:t>
      </w:r>
    </w:p>
    <w:p w:rsidR="00801430" w:rsidRPr="00155900" w:rsidRDefault="00801430" w:rsidP="00864E96">
      <w:pPr>
        <w:spacing w:line="360" w:lineRule="auto"/>
        <w:ind w:left="1155"/>
        <w:rPr>
          <w:rFonts w:ascii="Georgia" w:hAnsi="Georgia"/>
          <w:color w:val="000000"/>
          <w:sz w:val="24"/>
        </w:rPr>
      </w:pPr>
    </w:p>
    <w:sectPr w:rsidR="00801430" w:rsidRPr="00155900" w:rsidSect="0002265E">
      <w:headerReference w:type="default" r:id="rId8"/>
      <w:footerReference w:type="default" r:id="rId9"/>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F4" w:rsidRDefault="000428F4">
      <w:r>
        <w:separator/>
      </w:r>
    </w:p>
  </w:endnote>
  <w:endnote w:type="continuationSeparator" w:id="0">
    <w:p w:rsidR="000428F4" w:rsidRDefault="000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A20CB44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0" w:rsidRDefault="008014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F4" w:rsidRDefault="000428F4">
      <w:pPr>
        <w:pStyle w:val="Voettekst"/>
        <w:pBdr>
          <w:top w:val="single" w:sz="4" w:space="1" w:color="auto"/>
        </w:pBdr>
      </w:pPr>
    </w:p>
  </w:footnote>
  <w:footnote w:type="continuationSeparator" w:id="0">
    <w:p w:rsidR="000428F4" w:rsidRDefault="000428F4">
      <w:r>
        <w:continuationSeparator/>
      </w:r>
    </w:p>
  </w:footnote>
  <w:footnote w:id="1">
    <w:p w:rsidR="00801430" w:rsidRPr="00F03F66" w:rsidRDefault="00801430" w:rsidP="00155900">
      <w:pPr>
        <w:ind w:left="1155"/>
        <w:rPr>
          <w:rFonts w:ascii="Georgia" w:hAnsi="Georgia"/>
          <w:b/>
          <w:sz w:val="24"/>
        </w:rPr>
      </w:pPr>
      <w:r w:rsidRPr="00F03F66">
        <w:rPr>
          <w:rFonts w:ascii="Georgia" w:hAnsi="Georgia"/>
          <w:b/>
          <w:sz w:val="24"/>
        </w:rPr>
        <w:t>*</w:t>
      </w:r>
      <w:r>
        <w:rPr>
          <w:rFonts w:ascii="Georgia" w:hAnsi="Georgia"/>
          <w:b/>
          <w:sz w:val="24"/>
        </w:rPr>
        <w:t xml:space="preserve"> </w:t>
      </w:r>
      <w:r w:rsidRPr="00F03F66">
        <w:rPr>
          <w:rFonts w:ascii="Georgia" w:hAnsi="Georgia"/>
          <w:sz w:val="20"/>
          <w:szCs w:val="20"/>
        </w:rPr>
        <w:t>At</w:t>
      </w:r>
      <w:r>
        <w:rPr>
          <w:rFonts w:ascii="Georgia" w:hAnsi="Georgia"/>
          <w:sz w:val="20"/>
          <w:szCs w:val="20"/>
        </w:rPr>
        <w:t>t</w:t>
      </w:r>
      <w:r w:rsidRPr="00F03F66">
        <w:rPr>
          <w:rFonts w:ascii="Georgia" w:hAnsi="Georgia"/>
          <w:sz w:val="20"/>
          <w:szCs w:val="20"/>
        </w:rPr>
        <w:t>orney-at-Law</w:t>
      </w:r>
      <w:r>
        <w:rPr>
          <w:rFonts w:ascii="Georgia" w:hAnsi="Georgia"/>
          <w:sz w:val="20"/>
          <w:szCs w:val="20"/>
        </w:rPr>
        <w:t xml:space="preserve">, Munich/Paris, President of the European Patent Lawyers Association. The Views expressed are those of the author and do not necessarily reflect the opinion of all EPLAW members. </w:t>
      </w:r>
    </w:p>
    <w:p w:rsidR="00801430" w:rsidRPr="009919BB" w:rsidRDefault="00801430" w:rsidP="00155900">
      <w:pPr>
        <w:ind w:left="1155"/>
        <w:rPr>
          <w:lang w:val="de-DE"/>
        </w:rPr>
      </w:pPr>
      <w:r w:rsidRPr="00F75A3C">
        <w:rPr>
          <w:rStyle w:val="Voetnootmarkering"/>
          <w:rFonts w:ascii="Georgia" w:hAnsi="Georgia"/>
          <w:sz w:val="20"/>
          <w:szCs w:val="20"/>
        </w:rPr>
        <w:footnoteRef/>
      </w:r>
      <w:r w:rsidRPr="00F75A3C">
        <w:rPr>
          <w:rFonts w:ascii="Georgia" w:hAnsi="Georgia"/>
          <w:sz w:val="20"/>
          <w:szCs w:val="20"/>
        </w:rPr>
        <w:t xml:space="preserve"> Cf. public</w:t>
      </w:r>
      <w:r>
        <w:rPr>
          <w:rFonts w:ascii="Georgia" w:hAnsi="Georgia"/>
          <w:sz w:val="20"/>
          <w:szCs w:val="20"/>
        </w:rPr>
        <w:t>ations and presentations of the</w:t>
      </w:r>
      <w:r w:rsidRPr="00F75A3C">
        <w:rPr>
          <w:rFonts w:ascii="Georgia" w:hAnsi="Georgia"/>
          <w:sz w:val="20"/>
          <w:szCs w:val="20"/>
        </w:rPr>
        <w:t xml:space="preserve"> author: </w:t>
      </w:r>
      <w:r w:rsidRPr="00F75A3C">
        <w:rPr>
          <w:rFonts w:ascii="Georgia" w:hAnsi="Georgia"/>
          <w:i/>
          <w:sz w:val="20"/>
          <w:szCs w:val="20"/>
        </w:rPr>
        <w:t>Pagenberg,</w:t>
      </w:r>
      <w:r w:rsidRPr="00F75A3C">
        <w:rPr>
          <w:rFonts w:ascii="Georgia" w:hAnsi="Georgia"/>
          <w:sz w:val="20"/>
          <w:szCs w:val="20"/>
        </w:rPr>
        <w:t xml:space="preserve"> Back to the Future with EPLA?–Compatibility of the Draft Agreement on the European and Community Patents Court denied by the Advocates General, in Festschrift für Dieter Stauder p. 190; </w:t>
      </w:r>
      <w:r w:rsidRPr="00F75A3C">
        <w:rPr>
          <w:rFonts w:ascii="Georgia" w:hAnsi="Georgia"/>
          <w:i/>
          <w:sz w:val="20"/>
          <w:szCs w:val="20"/>
        </w:rPr>
        <w:t>id.,</w:t>
      </w:r>
      <w:r w:rsidRPr="00F75A3C">
        <w:rPr>
          <w:rFonts w:ascii="Georgia" w:hAnsi="Georgia"/>
          <w:sz w:val="20"/>
          <w:szCs w:val="20"/>
        </w:rPr>
        <w:t xml:space="preserve"> A</w:t>
      </w:r>
      <w:r w:rsidRPr="00F75A3C">
        <w:rPr>
          <w:rFonts w:ascii="Georgia" w:hAnsi="Georgia"/>
          <w:bCs/>
          <w:sz w:val="20"/>
          <w:szCs w:val="20"/>
        </w:rPr>
        <w:t>n integrated jurisdictional system for European and EU patents – Does it fit all?, at “</w:t>
      </w:r>
      <w:r w:rsidRPr="00F75A3C">
        <w:rPr>
          <w:rFonts w:ascii="Georgia" w:hAnsi="Georgia" w:cs="Arial"/>
          <w:sz w:val="20"/>
          <w:szCs w:val="20"/>
        </w:rPr>
        <w:t>Future Patent Policy in Europe”, Conference of the Belgian Presidency, Brussels 3 November 2010;</w:t>
      </w:r>
      <w:r w:rsidRPr="00F75A3C">
        <w:rPr>
          <w:rFonts w:ascii="Georgia" w:hAnsi="Georgia" w:cs="Arial"/>
          <w:i/>
          <w:sz w:val="20"/>
          <w:szCs w:val="20"/>
        </w:rPr>
        <w:t xml:space="preserve"> id.</w:t>
      </w:r>
      <w:r w:rsidRPr="00F75A3C">
        <w:rPr>
          <w:rFonts w:ascii="Georgia" w:hAnsi="Georgia" w:cs="Arial"/>
          <w:sz w:val="20"/>
          <w:szCs w:val="20"/>
        </w:rPr>
        <w:t xml:space="preserve"> </w:t>
      </w:r>
      <w:r w:rsidRPr="00F75A3C">
        <w:rPr>
          <w:rFonts w:ascii="Georgia" w:hAnsi="Georgia"/>
          <w:sz w:val="20"/>
          <w:szCs w:val="20"/>
          <w:lang w:val="de-DE"/>
        </w:rPr>
        <w:t>Status Quo nach den Anträgen der Generalanwälte, GRUR Annual Meeting, Hamburg, 16 September 2010</w:t>
      </w:r>
      <w:r w:rsidRPr="00F75A3C">
        <w:rPr>
          <w:rFonts w:ascii="Georgia" w:hAnsi="Georgia"/>
          <w:i/>
          <w:sz w:val="20"/>
          <w:szCs w:val="20"/>
          <w:lang w:val="de-DE"/>
        </w:rPr>
        <w:t>;</w:t>
      </w:r>
    </w:p>
  </w:footnote>
  <w:footnote w:id="2">
    <w:p w:rsidR="00801430" w:rsidRDefault="00801430" w:rsidP="00E86FC7">
      <w:pPr>
        <w:pStyle w:val="Voetnoottekst"/>
        <w:ind w:left="1155"/>
      </w:pPr>
      <w:r w:rsidRPr="00A74F50">
        <w:rPr>
          <w:sz w:val="20"/>
          <w:szCs w:val="20"/>
          <w:lang w:val="de-DE"/>
        </w:rPr>
        <w:tab/>
        <w:t xml:space="preserve">          </w:t>
      </w:r>
      <w:r w:rsidRPr="00F75A3C">
        <w:rPr>
          <w:rStyle w:val="Voetnootmarkering"/>
          <w:sz w:val="20"/>
          <w:szCs w:val="20"/>
        </w:rPr>
        <w:footnoteRef/>
      </w:r>
      <w:r>
        <w:rPr>
          <w:sz w:val="20"/>
          <w:szCs w:val="20"/>
        </w:rPr>
        <w:t xml:space="preserve"> </w:t>
      </w:r>
      <w:r w:rsidRPr="00E50B13">
        <w:rPr>
          <w:rFonts w:ascii="Georgia" w:hAnsi="Georgia"/>
          <w:sz w:val="20"/>
        </w:rPr>
        <w:t xml:space="preserve">Cf. </w:t>
      </w:r>
      <w:r w:rsidRPr="00F75A3C">
        <w:rPr>
          <w:rFonts w:ascii="Georgia" w:hAnsi="Georgia"/>
          <w:sz w:val="20"/>
          <w:szCs w:val="20"/>
        </w:rPr>
        <w:t xml:space="preserve">the paper </w:t>
      </w:r>
      <w:r>
        <w:rPr>
          <w:rFonts w:ascii="Georgia" w:hAnsi="Georgia"/>
          <w:sz w:val="20"/>
          <w:szCs w:val="20"/>
        </w:rPr>
        <w:t xml:space="preserve">of the EU Commission IP/11/269 </w:t>
      </w:r>
      <w:r w:rsidRPr="00F75A3C">
        <w:rPr>
          <w:rFonts w:ascii="Georgia" w:hAnsi="Georgia"/>
          <w:sz w:val="20"/>
          <w:szCs w:val="20"/>
        </w:rPr>
        <w:t>of 8 March 2011 where the “mixed agreement” with third countries has still been emphasized</w:t>
      </w:r>
    </w:p>
  </w:footnote>
  <w:footnote w:id="3">
    <w:p w:rsidR="00801430" w:rsidRDefault="00801430" w:rsidP="00155900">
      <w:pPr>
        <w:pStyle w:val="Voetnoottekst"/>
        <w:ind w:left="1155" w:firstLine="0"/>
      </w:pPr>
      <w:r w:rsidRPr="00F75A3C">
        <w:rPr>
          <w:rFonts w:ascii="Georgia" w:hAnsi="Georgia"/>
          <w:sz w:val="20"/>
          <w:szCs w:val="20"/>
        </w:rPr>
        <w:t xml:space="preserve"> </w:t>
      </w:r>
      <w:r w:rsidRPr="00A74F50">
        <w:rPr>
          <w:rStyle w:val="Voetnootmarkering"/>
          <w:rFonts w:ascii="Georgia" w:hAnsi="Georgia"/>
          <w:sz w:val="20"/>
          <w:szCs w:val="20"/>
        </w:rPr>
        <w:footnoteRef/>
      </w:r>
      <w:r w:rsidRPr="00A74F50">
        <w:rPr>
          <w:rFonts w:ascii="Georgia" w:hAnsi="Georgia"/>
          <w:sz w:val="20"/>
          <w:szCs w:val="20"/>
        </w:rPr>
        <w:t xml:space="preserve"> Cf. par. 71 and par. 87f. of the Opinion, because of the legal impossibility of instituting infringement proceedings against non-member countries </w:t>
      </w:r>
      <w:r>
        <w:rPr>
          <w:rFonts w:ascii="Georgia" w:hAnsi="Georgia"/>
          <w:sz w:val="20"/>
          <w:szCs w:val="20"/>
        </w:rPr>
        <w:t>in case of</w:t>
      </w:r>
      <w:r w:rsidRPr="00A74F50">
        <w:rPr>
          <w:rFonts w:ascii="Georgia" w:hAnsi="Georgia"/>
          <w:sz w:val="20"/>
          <w:szCs w:val="20"/>
        </w:rPr>
        <w:t xml:space="preserve"> violat</w:t>
      </w:r>
      <w:r>
        <w:rPr>
          <w:rFonts w:ascii="Georgia" w:hAnsi="Georgia"/>
          <w:sz w:val="20"/>
          <w:szCs w:val="20"/>
        </w:rPr>
        <w:t>ion of</w:t>
      </w:r>
      <w:r w:rsidRPr="00A74F50">
        <w:rPr>
          <w:rFonts w:ascii="Georgia" w:hAnsi="Georgia"/>
          <w:sz w:val="20"/>
          <w:szCs w:val="20"/>
        </w:rPr>
        <w:t xml:space="preserve"> the EU Treaty</w:t>
      </w:r>
      <w:r>
        <w:rPr>
          <w:rFonts w:ascii="Georgia" w:hAnsi="Georgia"/>
          <w:sz w:val="20"/>
          <w:szCs w:val="20"/>
        </w:rPr>
        <w:t xml:space="preserve"> by the courts in their country.</w:t>
      </w:r>
    </w:p>
  </w:footnote>
  <w:footnote w:id="4">
    <w:p w:rsidR="00801430" w:rsidRDefault="00801430" w:rsidP="00155900">
      <w:pPr>
        <w:pStyle w:val="Voetnoottekst"/>
        <w:ind w:left="1155" w:firstLine="0"/>
      </w:pPr>
      <w:r w:rsidRPr="00A74F50">
        <w:rPr>
          <w:rFonts w:ascii="Georgia" w:hAnsi="Georgia"/>
          <w:sz w:val="20"/>
          <w:szCs w:val="20"/>
        </w:rPr>
        <w:t xml:space="preserve"> </w:t>
      </w:r>
      <w:r w:rsidRPr="00A74F50">
        <w:rPr>
          <w:rStyle w:val="Voetnootmarkering"/>
          <w:rFonts w:ascii="Georgia" w:hAnsi="Georgia"/>
          <w:sz w:val="20"/>
          <w:szCs w:val="20"/>
        </w:rPr>
        <w:footnoteRef/>
      </w:r>
      <w:r w:rsidRPr="00A74F50">
        <w:rPr>
          <w:rFonts w:ascii="Georgia" w:hAnsi="Georgia"/>
          <w:sz w:val="20"/>
          <w:szCs w:val="20"/>
        </w:rPr>
        <w:t xml:space="preserve"> See par. 73 of</w:t>
      </w:r>
      <w:r w:rsidRPr="00F75A3C">
        <w:rPr>
          <w:rFonts w:ascii="Georgia" w:hAnsi="Georgia"/>
          <w:sz w:val="20"/>
          <w:szCs w:val="20"/>
        </w:rPr>
        <w:t xml:space="preserve"> the Opinion; cf. however the paper of the EU Commission IP/11/269  of 8 March 2011 where exclusive jurisdiction is still emphasized as a</w:t>
      </w:r>
      <w:r>
        <w:rPr>
          <w:rFonts w:ascii="Georgia" w:hAnsi="Georgia"/>
          <w:sz w:val="20"/>
          <w:szCs w:val="20"/>
        </w:rPr>
        <w:t>n integral</w:t>
      </w:r>
      <w:r w:rsidRPr="00F75A3C">
        <w:rPr>
          <w:rFonts w:ascii="Georgia" w:hAnsi="Georgia"/>
          <w:sz w:val="20"/>
          <w:szCs w:val="20"/>
        </w:rPr>
        <w:t xml:space="preserve"> feature of the EEUPC </w:t>
      </w:r>
      <w:r>
        <w:rPr>
          <w:rFonts w:ascii="Georgia" w:hAnsi="Georgia"/>
          <w:sz w:val="20"/>
          <w:szCs w:val="20"/>
        </w:rPr>
        <w:t>.</w:t>
      </w:r>
    </w:p>
  </w:footnote>
  <w:footnote w:id="5">
    <w:p w:rsidR="00801430" w:rsidRPr="009919BB" w:rsidRDefault="00801430" w:rsidP="00155900">
      <w:pPr>
        <w:pStyle w:val="bStandard15"/>
        <w:spacing w:line="240" w:lineRule="auto"/>
        <w:ind w:left="1155"/>
        <w:jc w:val="both"/>
        <w:rPr>
          <w:lang w:val="en-US"/>
        </w:rPr>
      </w:pPr>
      <w:r w:rsidRPr="00F75A3C">
        <w:rPr>
          <w:sz w:val="20"/>
          <w:szCs w:val="20"/>
          <w:lang w:val="en-GB"/>
        </w:rPr>
        <w:t xml:space="preserve"> </w:t>
      </w:r>
      <w:r w:rsidRPr="00F75A3C">
        <w:rPr>
          <w:rStyle w:val="Voetnootmarkering"/>
          <w:sz w:val="20"/>
          <w:szCs w:val="20"/>
        </w:rPr>
        <w:footnoteRef/>
      </w:r>
      <w:r w:rsidRPr="00F75A3C">
        <w:rPr>
          <w:sz w:val="20"/>
          <w:szCs w:val="20"/>
          <w:lang w:val="en-GB"/>
        </w:rPr>
        <w:t xml:space="preserve"> Se</w:t>
      </w:r>
      <w:r>
        <w:rPr>
          <w:sz w:val="20"/>
          <w:szCs w:val="20"/>
          <w:lang w:val="en-GB"/>
        </w:rPr>
        <w:t>e par. 79 according to which a</w:t>
      </w:r>
      <w:r w:rsidRPr="00F75A3C">
        <w:rPr>
          <w:sz w:val="20"/>
          <w:szCs w:val="20"/>
          <w:lang w:val="en-GB"/>
        </w:rPr>
        <w:t xml:space="preserve"> national court is “the sole court </w:t>
      </w:r>
      <w:r w:rsidRPr="00F75A3C">
        <w:rPr>
          <w:sz w:val="20"/>
          <w:szCs w:val="20"/>
          <w:u w:val="single"/>
          <w:lang w:val="en-GB"/>
        </w:rPr>
        <w:t>able to communicate</w:t>
      </w:r>
      <w:r>
        <w:rPr>
          <w:sz w:val="20"/>
          <w:szCs w:val="20"/>
          <w:lang w:val="en-GB"/>
        </w:rPr>
        <w:t xml:space="preserve"> with the [CJ]</w:t>
      </w:r>
      <w:r w:rsidRPr="00F75A3C">
        <w:rPr>
          <w:sz w:val="20"/>
          <w:szCs w:val="20"/>
          <w:lang w:val="en-GB"/>
        </w:rPr>
        <w:t xml:space="preserve"> by means of a reference for a preliminary ruling”</w:t>
      </w:r>
      <w:r>
        <w:rPr>
          <w:sz w:val="20"/>
          <w:szCs w:val="20"/>
          <w:lang w:val="en-GB"/>
        </w:rPr>
        <w:t>;</w:t>
      </w:r>
      <w:r w:rsidRPr="00F75A3C">
        <w:rPr>
          <w:sz w:val="20"/>
          <w:szCs w:val="20"/>
          <w:lang w:val="en-GB"/>
        </w:rPr>
        <w:t xml:space="preserve"> and “Art. 267 establishes between the Court of Justice and the national courts direct cooperation as part of which the latter are closely involved in the correct application and uniform interpretation o</w:t>
      </w:r>
      <w:r>
        <w:rPr>
          <w:sz w:val="20"/>
          <w:szCs w:val="20"/>
          <w:lang w:val="en-GB"/>
        </w:rPr>
        <w:t>f E</w:t>
      </w:r>
      <w:r>
        <w:rPr>
          <w:sz w:val="20"/>
          <w:szCs w:val="20"/>
          <w:lang w:val="en-GB"/>
        </w:rPr>
        <w:t>u</w:t>
      </w:r>
      <w:r>
        <w:rPr>
          <w:sz w:val="20"/>
          <w:szCs w:val="20"/>
          <w:lang w:val="en-GB"/>
        </w:rPr>
        <w:t>ropean Union law” (par. 84);</w:t>
      </w:r>
      <w:r w:rsidRPr="00F75A3C">
        <w:rPr>
          <w:sz w:val="20"/>
          <w:szCs w:val="20"/>
          <w:lang w:val="en-GB"/>
        </w:rPr>
        <w:t xml:space="preserve"> however it becomes not clear why this is not possible with the Patent </w:t>
      </w:r>
      <w:r>
        <w:rPr>
          <w:sz w:val="20"/>
          <w:szCs w:val="20"/>
          <w:lang w:val="en-GB"/>
        </w:rPr>
        <w:t>Court.</w:t>
      </w:r>
    </w:p>
  </w:footnote>
  <w:footnote w:id="6">
    <w:p w:rsidR="00801430" w:rsidRDefault="00801430" w:rsidP="00155900">
      <w:pPr>
        <w:pStyle w:val="Voetnoottekst"/>
        <w:ind w:left="1155" w:firstLine="0"/>
      </w:pPr>
      <w:r w:rsidRPr="00F75A3C">
        <w:rPr>
          <w:rFonts w:ascii="Georgia" w:hAnsi="Georgia"/>
          <w:sz w:val="20"/>
          <w:szCs w:val="20"/>
        </w:rPr>
        <w:t xml:space="preserve"> </w:t>
      </w:r>
      <w:r w:rsidRPr="00F75A3C">
        <w:rPr>
          <w:rStyle w:val="Voetnootmarkering"/>
          <w:rFonts w:ascii="Georgia" w:hAnsi="Georgia"/>
          <w:sz w:val="20"/>
          <w:szCs w:val="20"/>
        </w:rPr>
        <w:footnoteRef/>
      </w:r>
      <w:r w:rsidRPr="00F75A3C">
        <w:rPr>
          <w:rFonts w:ascii="Georgia" w:hAnsi="Georgia"/>
          <w:sz w:val="20"/>
          <w:szCs w:val="20"/>
        </w:rPr>
        <w:t xml:space="preserve"> See par. 82 of the Opinion</w:t>
      </w:r>
      <w:r>
        <w:rPr>
          <w:rFonts w:ascii="Georgia" w:hAnsi="Georgia"/>
          <w:sz w:val="20"/>
          <w:szCs w:val="20"/>
        </w:rPr>
        <w:t>.</w:t>
      </w:r>
    </w:p>
  </w:footnote>
  <w:footnote w:id="7">
    <w:p w:rsidR="00801430" w:rsidRDefault="00801430" w:rsidP="00155900">
      <w:pPr>
        <w:pStyle w:val="Voetnoottekst"/>
        <w:tabs>
          <w:tab w:val="clear" w:pos="720"/>
          <w:tab w:val="left" w:pos="1155"/>
        </w:tabs>
        <w:ind w:left="1155" w:firstLine="0"/>
      </w:pPr>
      <w:r w:rsidRPr="00F75A3C">
        <w:rPr>
          <w:rStyle w:val="Voetnootmarkering"/>
          <w:rFonts w:ascii="Georgia" w:hAnsi="Georgia"/>
          <w:sz w:val="20"/>
          <w:szCs w:val="20"/>
        </w:rPr>
        <w:footnoteRef/>
      </w:r>
      <w:r w:rsidRPr="00F75A3C">
        <w:rPr>
          <w:rFonts w:ascii="Georgia" w:hAnsi="Georgia"/>
          <w:sz w:val="20"/>
          <w:szCs w:val="20"/>
        </w:rPr>
        <w:t xml:space="preserve"> The Opinion does not discuss the option in form of the CTM courts, although the Adv</w:t>
      </w:r>
      <w:r w:rsidRPr="00F75A3C">
        <w:rPr>
          <w:rFonts w:ascii="Georgia" w:hAnsi="Georgia"/>
          <w:sz w:val="20"/>
          <w:szCs w:val="20"/>
        </w:rPr>
        <w:t>o</w:t>
      </w:r>
      <w:r w:rsidRPr="00F75A3C">
        <w:rPr>
          <w:rFonts w:ascii="Georgia" w:hAnsi="Georgia"/>
          <w:sz w:val="20"/>
          <w:szCs w:val="20"/>
        </w:rPr>
        <w:t xml:space="preserve">cates General had expressly used them </w:t>
      </w:r>
      <w:r>
        <w:rPr>
          <w:rFonts w:ascii="Georgia" w:hAnsi="Georgia"/>
          <w:sz w:val="20"/>
          <w:szCs w:val="20"/>
        </w:rPr>
        <w:t>as a further admissible example; see below at II. 2.</w:t>
      </w:r>
      <w:r w:rsidRPr="00F75A3C">
        <w:rPr>
          <w:rFonts w:ascii="Georgia" w:hAnsi="Georgia"/>
          <w:sz w:val="20"/>
          <w:szCs w:val="20"/>
        </w:rPr>
        <w:t xml:space="preserve"> </w:t>
      </w:r>
    </w:p>
  </w:footnote>
  <w:footnote w:id="8">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Cf. par. 77 of the Opinion </w:t>
      </w:r>
    </w:p>
  </w:footnote>
  <w:footnote w:id="9">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Cf. par. 73: ...to ensure … the full application of European Union law</w:t>
      </w:r>
    </w:p>
  </w:footnote>
  <w:footnote w:id="10">
    <w:p w:rsidR="00801430" w:rsidRPr="009919BB" w:rsidRDefault="00801430" w:rsidP="00155900">
      <w:pPr>
        <w:pStyle w:val="bStandard15"/>
        <w:spacing w:line="240" w:lineRule="auto"/>
        <w:ind w:left="1155"/>
        <w:jc w:val="both"/>
        <w:rPr>
          <w:lang w:val="en-US"/>
        </w:rPr>
      </w:pPr>
      <w:r w:rsidRPr="00F75A3C">
        <w:rPr>
          <w:rStyle w:val="Voetnootmarkering"/>
          <w:sz w:val="20"/>
          <w:szCs w:val="20"/>
        </w:rPr>
        <w:footnoteRef/>
      </w:r>
      <w:r w:rsidRPr="00F75A3C">
        <w:rPr>
          <w:sz w:val="20"/>
          <w:szCs w:val="20"/>
          <w:lang w:val="en-GB"/>
        </w:rPr>
        <w:t xml:space="preserve"> See par. 86: “a </w:t>
      </w:r>
      <w:smartTag w:uri="urn:schemas-microsoft-com:office:smarttags" w:element="PlaceName">
        <w:smartTag w:uri="urn:schemas-microsoft-com:office:smarttags" w:element="place">
          <w:smartTag w:uri="urn:schemas-microsoft-com:office:smarttags" w:element="PlaceName">
            <w:r w:rsidRPr="00F75A3C">
              <w:rPr>
                <w:sz w:val="20"/>
                <w:szCs w:val="20"/>
                <w:lang w:val="en-GB"/>
              </w:rPr>
              <w:t>Member</w:t>
            </w:r>
          </w:smartTag>
          <w:r w:rsidRPr="00F75A3C">
            <w:rPr>
              <w:sz w:val="20"/>
              <w:szCs w:val="20"/>
              <w:lang w:val="en-GB"/>
            </w:rPr>
            <w:t xml:space="preserve"> </w:t>
          </w:r>
          <w:smartTag w:uri="urn:schemas-microsoft-com:office:smarttags" w:element="PlaceType">
            <w:r w:rsidRPr="00F75A3C">
              <w:rPr>
                <w:sz w:val="20"/>
                <w:szCs w:val="20"/>
                <w:lang w:val="en-GB"/>
              </w:rPr>
              <w:t>State</w:t>
            </w:r>
          </w:smartTag>
        </w:smartTag>
      </w:smartTag>
      <w:r w:rsidRPr="00F75A3C">
        <w:rPr>
          <w:sz w:val="20"/>
          <w:szCs w:val="20"/>
          <w:lang w:val="en-GB"/>
        </w:rPr>
        <w:t xml:space="preserve"> is obliged to make good damage caused to individuals as a result of breaches of European Union law for which it is responsible..”</w:t>
      </w:r>
    </w:p>
  </w:footnote>
  <w:footnote w:id="11">
    <w:p w:rsidR="00801430" w:rsidRDefault="00801430" w:rsidP="00155900">
      <w:pPr>
        <w:pStyle w:val="Voetnoottekst"/>
        <w:tabs>
          <w:tab w:val="clear" w:pos="720"/>
          <w:tab w:val="left" w:pos="1155"/>
        </w:tabs>
        <w:ind w:left="1155" w:firstLine="0"/>
      </w:pPr>
      <w:r w:rsidRPr="00F75A3C">
        <w:rPr>
          <w:rStyle w:val="Voetnootmarkering"/>
          <w:rFonts w:ascii="Georgia" w:hAnsi="Georgia"/>
          <w:sz w:val="20"/>
          <w:szCs w:val="20"/>
        </w:rPr>
        <w:footnoteRef/>
      </w:r>
      <w:r w:rsidRPr="00F75A3C">
        <w:rPr>
          <w:rFonts w:ascii="Georgia" w:hAnsi="Georgia"/>
          <w:sz w:val="20"/>
          <w:szCs w:val="20"/>
        </w:rPr>
        <w:t xml:space="preserve"> Cf. par. 88 which criticizes the lack of legal remedies as a vital point of non-compliance </w:t>
      </w:r>
    </w:p>
  </w:footnote>
  <w:footnote w:id="12">
    <w:p w:rsidR="00801430" w:rsidRDefault="00801430" w:rsidP="00155900">
      <w:pPr>
        <w:pStyle w:val="Voetnoottekst"/>
        <w:tabs>
          <w:tab w:val="clear" w:pos="720"/>
          <w:tab w:val="left" w:pos="1470"/>
        </w:tabs>
        <w:spacing w:line="240" w:lineRule="auto"/>
        <w:ind w:left="1155" w:firstLine="0"/>
      </w:pPr>
      <w:r w:rsidRPr="00F75A3C">
        <w:rPr>
          <w:rStyle w:val="Voetnootmarkering"/>
          <w:rFonts w:ascii="Georgia" w:hAnsi="Georgia"/>
          <w:sz w:val="20"/>
          <w:szCs w:val="20"/>
        </w:rPr>
        <w:footnoteRef/>
      </w:r>
      <w:r w:rsidRPr="00F75A3C">
        <w:rPr>
          <w:rFonts w:ascii="Georgia" w:hAnsi="Georgia"/>
          <w:sz w:val="20"/>
          <w:szCs w:val="20"/>
        </w:rPr>
        <w:t xml:space="preserve">  Cf. par. 59: “.. the question … for an Opinion concerns not the powers of the PC in the field of the European patent, but its powers relating to the future Community patent.</w:t>
      </w:r>
    </w:p>
  </w:footnote>
  <w:footnote w:id="13">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See for details Pagenberg, </w:t>
      </w:r>
      <w:r w:rsidRPr="00F75A3C">
        <w:rPr>
          <w:rFonts w:ascii="Georgia" w:hAnsi="Georgia"/>
          <w:i/>
          <w:sz w:val="20"/>
          <w:szCs w:val="20"/>
        </w:rPr>
        <w:t>Back to the Future with EPLA?</w:t>
      </w:r>
      <w:r w:rsidRPr="00F75A3C">
        <w:rPr>
          <w:rFonts w:ascii="Georgia" w:hAnsi="Georgia"/>
          <w:sz w:val="20"/>
          <w:szCs w:val="20"/>
        </w:rPr>
        <w:t xml:space="preserve">, in “Festschrift Dieter Stauder”, at 190;  </w:t>
      </w:r>
    </w:p>
  </w:footnote>
  <w:footnote w:id="14">
    <w:p w:rsidR="00801430" w:rsidRPr="0025766E" w:rsidRDefault="00801430" w:rsidP="0025766E">
      <w:pPr>
        <w:spacing w:line="240" w:lineRule="auto"/>
        <w:ind w:left="1155"/>
        <w:rPr>
          <w:rFonts w:ascii="Georgia" w:hAnsi="Georgia"/>
          <w:sz w:val="20"/>
          <w:szCs w:val="20"/>
        </w:rPr>
      </w:pPr>
      <w:r w:rsidRPr="00E6496F">
        <w:rPr>
          <w:rStyle w:val="Voetnootmarkering"/>
          <w:rFonts w:ascii="Georgia" w:hAnsi="Georgia"/>
          <w:sz w:val="20"/>
        </w:rPr>
        <w:footnoteRef/>
      </w:r>
      <w:r>
        <w:t xml:space="preserve"> </w:t>
      </w:r>
      <w:r w:rsidRPr="0025766E">
        <w:rPr>
          <w:rFonts w:ascii="Georgia" w:hAnsi="Georgia"/>
          <w:sz w:val="20"/>
          <w:szCs w:val="20"/>
        </w:rPr>
        <w:t xml:space="preserve">One must read here the French or German version of par. 79 (third subpar.), since the English translation is faulty: </w:t>
      </w:r>
    </w:p>
    <w:p w:rsidR="00801430" w:rsidRPr="0025766E" w:rsidRDefault="00801430" w:rsidP="0025766E">
      <w:pPr>
        <w:spacing w:line="240" w:lineRule="auto"/>
        <w:ind w:left="1365"/>
        <w:rPr>
          <w:rFonts w:ascii="Georgia" w:hAnsi="Georgia"/>
          <w:i/>
          <w:color w:val="000000"/>
          <w:sz w:val="18"/>
          <w:szCs w:val="18"/>
          <w:lang w:val="fr-FR"/>
        </w:rPr>
      </w:pPr>
      <w:r w:rsidRPr="0025766E">
        <w:rPr>
          <w:rFonts w:ascii="Georgia" w:hAnsi="Georgia"/>
          <w:i/>
          <w:color w:val="000000"/>
          <w:sz w:val="18"/>
          <w:szCs w:val="18"/>
          <w:lang w:val="fr-FR"/>
        </w:rPr>
        <w:t xml:space="preserve">[La JB (Juridiction du brevet..)] devient, dans le domaine de ses compétences exclusives, </w:t>
      </w:r>
      <w:r w:rsidRPr="0025766E">
        <w:rPr>
          <w:rFonts w:ascii="Georgia" w:hAnsi="Georgia"/>
          <w:i/>
          <w:color w:val="000000"/>
          <w:sz w:val="18"/>
          <w:szCs w:val="18"/>
          <w:u w:val="single"/>
          <w:lang w:val="fr-FR"/>
        </w:rPr>
        <w:t>l’interlocuteur juridictionnel unique</w:t>
      </w:r>
      <w:r w:rsidRPr="0025766E">
        <w:rPr>
          <w:rFonts w:ascii="Georgia" w:hAnsi="Georgia"/>
          <w:i/>
          <w:color w:val="000000"/>
          <w:sz w:val="18"/>
          <w:szCs w:val="18"/>
          <w:lang w:val="fr-FR"/>
        </w:rPr>
        <w:t xml:space="preserve"> de la Cour, dans le cadre d’une procédure de renvoi préj</w:t>
      </w:r>
      <w:r w:rsidRPr="0025766E">
        <w:rPr>
          <w:rFonts w:ascii="Georgia" w:hAnsi="Georgia"/>
          <w:i/>
          <w:color w:val="000000"/>
          <w:sz w:val="18"/>
          <w:szCs w:val="18"/>
          <w:lang w:val="fr-FR"/>
        </w:rPr>
        <w:t>u</w:t>
      </w:r>
      <w:r w:rsidRPr="0025766E">
        <w:rPr>
          <w:rFonts w:ascii="Georgia" w:hAnsi="Georgia"/>
          <w:i/>
          <w:color w:val="000000"/>
          <w:sz w:val="18"/>
          <w:szCs w:val="18"/>
          <w:lang w:val="fr-FR"/>
        </w:rPr>
        <w:t>diciel, concernant l’interprétation et l’application du droit de l’Union..</w:t>
      </w:r>
    </w:p>
    <w:p w:rsidR="00801430" w:rsidRPr="0025766E" w:rsidRDefault="00801430" w:rsidP="0025766E">
      <w:pPr>
        <w:pStyle w:val="bStandard15"/>
        <w:spacing w:line="240" w:lineRule="auto"/>
        <w:ind w:left="1365"/>
        <w:jc w:val="both"/>
        <w:rPr>
          <w:i/>
          <w:sz w:val="18"/>
          <w:szCs w:val="18"/>
        </w:rPr>
      </w:pPr>
      <w:r w:rsidRPr="0025766E">
        <w:rPr>
          <w:i/>
          <w:color w:val="000000"/>
          <w:sz w:val="18"/>
          <w:szCs w:val="18"/>
        </w:rPr>
        <w:t xml:space="preserve">[Das PG wird] im Bereich seiner ausschließlichen Zuständigkeiten zum einzigen </w:t>
      </w:r>
      <w:r w:rsidRPr="0025766E">
        <w:rPr>
          <w:i/>
          <w:color w:val="000000"/>
          <w:sz w:val="18"/>
          <w:szCs w:val="18"/>
          <w:u w:val="single"/>
        </w:rPr>
        <w:t>gerichtlichen Gesprächspartner</w:t>
      </w:r>
      <w:r w:rsidRPr="0025766E">
        <w:rPr>
          <w:i/>
          <w:color w:val="000000"/>
          <w:sz w:val="18"/>
          <w:szCs w:val="18"/>
        </w:rPr>
        <w:t xml:space="preserve"> des Gerichtshofs im Rahmen eines Vorabentscheidungsverfahrens</w:t>
      </w:r>
    </w:p>
    <w:p w:rsidR="00801430" w:rsidRDefault="00801430" w:rsidP="0025766E">
      <w:pPr>
        <w:pStyle w:val="bStandard15"/>
        <w:spacing w:line="240" w:lineRule="auto"/>
        <w:ind w:left="1365"/>
        <w:jc w:val="both"/>
      </w:pPr>
    </w:p>
  </w:footnote>
  <w:footnote w:id="15">
    <w:p w:rsidR="00801430" w:rsidRDefault="00801430" w:rsidP="009E7E64">
      <w:pPr>
        <w:pStyle w:val="Voetnoottekst"/>
        <w:tabs>
          <w:tab w:val="clear" w:pos="720"/>
        </w:tabs>
        <w:ind w:left="1155" w:firstLine="0"/>
      </w:pPr>
      <w:r w:rsidRPr="00F75A3C">
        <w:rPr>
          <w:rStyle w:val="Voetnootmarkering"/>
          <w:rFonts w:ascii="Georgia" w:hAnsi="Georgia"/>
          <w:sz w:val="20"/>
          <w:szCs w:val="20"/>
        </w:rPr>
        <w:footnoteRef/>
      </w:r>
      <w:r w:rsidRPr="00F75A3C">
        <w:rPr>
          <w:rFonts w:ascii="Georgia" w:hAnsi="Georgia"/>
          <w:sz w:val="20"/>
          <w:szCs w:val="20"/>
        </w:rPr>
        <w:t xml:space="preserve"> It is repeated once more in par. 84 with reference to </w:t>
      </w:r>
      <w:r w:rsidRPr="00F75A3C">
        <w:rPr>
          <w:rFonts w:ascii="Georgia" w:hAnsi="Georgia"/>
          <w:color w:val="000000"/>
          <w:sz w:val="20"/>
          <w:szCs w:val="20"/>
        </w:rPr>
        <w:t>Art. 267  TFEU which allegedly “establishes between the Court of Justice and the national courts direct cooperation as part of which the latter are closely involved in the correct application … of European U</w:t>
      </w:r>
      <w:r w:rsidRPr="00F75A3C">
        <w:rPr>
          <w:rFonts w:ascii="Georgia" w:hAnsi="Georgia"/>
          <w:color w:val="000000"/>
          <w:sz w:val="20"/>
          <w:szCs w:val="20"/>
        </w:rPr>
        <w:t>n</w:t>
      </w:r>
      <w:r w:rsidRPr="00F75A3C">
        <w:rPr>
          <w:rFonts w:ascii="Georgia" w:hAnsi="Georgia"/>
          <w:color w:val="000000"/>
          <w:sz w:val="20"/>
          <w:szCs w:val="20"/>
        </w:rPr>
        <w:t>ion law”</w:t>
      </w:r>
    </w:p>
  </w:footnote>
  <w:footnote w:id="16">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In 2010 more than 1400 cases have reached the three courts in </w:t>
      </w:r>
      <w:smartTag w:uri="urn:schemas-microsoft-com:office:smarttags" w:element="country-region">
        <w:smartTag w:uri="urn:schemas-microsoft-com:office:smarttags" w:element="place">
          <w:r w:rsidRPr="00F75A3C">
            <w:rPr>
              <w:rFonts w:ascii="Georgia" w:hAnsi="Georgia"/>
              <w:sz w:val="20"/>
              <w:szCs w:val="20"/>
            </w:rPr>
            <w:t>Luxembourg</w:t>
          </w:r>
        </w:smartTag>
      </w:smartTag>
    </w:p>
  </w:footnote>
  <w:footnote w:id="17">
    <w:p w:rsidR="00801430" w:rsidRDefault="00801430" w:rsidP="001358DB">
      <w:pPr>
        <w:pStyle w:val="Voetnoottekst"/>
        <w:tabs>
          <w:tab w:val="clear" w:pos="720"/>
          <w:tab w:val="left" w:pos="1365"/>
        </w:tabs>
        <w:spacing w:line="240" w:lineRule="auto"/>
        <w:ind w:left="1155" w:firstLine="0"/>
      </w:pPr>
      <w:r w:rsidRPr="00F75A3C">
        <w:rPr>
          <w:rStyle w:val="Voetnootmarkering"/>
          <w:rFonts w:ascii="Georgia" w:hAnsi="Georgia"/>
          <w:sz w:val="20"/>
          <w:szCs w:val="20"/>
        </w:rPr>
        <w:footnoteRef/>
      </w:r>
      <w:r w:rsidRPr="00F75A3C">
        <w:rPr>
          <w:rFonts w:ascii="Georgia" w:hAnsi="Georgia"/>
          <w:sz w:val="20"/>
          <w:szCs w:val="20"/>
        </w:rPr>
        <w:t xml:space="preserve"> The argument that in all the years such damage claims have never materialized is not a reason to accept it as part of patent litigation; it is rather a reason to leave it out as unne</w:t>
      </w:r>
      <w:r w:rsidRPr="00F75A3C">
        <w:rPr>
          <w:rFonts w:ascii="Georgia" w:hAnsi="Georgia"/>
          <w:sz w:val="20"/>
          <w:szCs w:val="20"/>
        </w:rPr>
        <w:t>c</w:t>
      </w:r>
      <w:r w:rsidRPr="00F75A3C">
        <w:rPr>
          <w:rFonts w:ascii="Georgia" w:hAnsi="Georgia"/>
          <w:sz w:val="20"/>
          <w:szCs w:val="20"/>
        </w:rPr>
        <w:t>essary.</w:t>
      </w:r>
    </w:p>
  </w:footnote>
  <w:footnote w:id="18">
    <w:p w:rsidR="00801430" w:rsidRDefault="00801430" w:rsidP="001358DB">
      <w:pPr>
        <w:spacing w:before="100" w:beforeAutospacing="1" w:after="240" w:line="240" w:lineRule="auto"/>
        <w:ind w:left="1155"/>
      </w:pPr>
      <w:r w:rsidRPr="00F75A3C">
        <w:rPr>
          <w:rStyle w:val="Voetnootmarkering"/>
          <w:rFonts w:ascii="Georgia" w:hAnsi="Georgia"/>
          <w:sz w:val="20"/>
          <w:szCs w:val="20"/>
        </w:rPr>
        <w:footnoteRef/>
      </w:r>
      <w:r w:rsidRPr="00F75A3C">
        <w:rPr>
          <w:sz w:val="20"/>
          <w:szCs w:val="20"/>
        </w:rPr>
        <w:t xml:space="preserve"> </w:t>
      </w:r>
      <w:r w:rsidRPr="00F75A3C">
        <w:rPr>
          <w:rFonts w:ascii="Georgia" w:hAnsi="Georgia"/>
          <w:sz w:val="20"/>
          <w:szCs w:val="20"/>
        </w:rPr>
        <w:t>This can also be derived from par. 88 where the Court confirms: “if a decision of the PC were to be in breach of European Union law, that decision could not be the subject of i</w:t>
      </w:r>
      <w:r w:rsidRPr="00F75A3C">
        <w:rPr>
          <w:rFonts w:ascii="Georgia" w:hAnsi="Georgia"/>
          <w:sz w:val="20"/>
          <w:szCs w:val="20"/>
        </w:rPr>
        <w:t>n</w:t>
      </w:r>
      <w:r w:rsidRPr="00F75A3C">
        <w:rPr>
          <w:rFonts w:ascii="Georgia" w:hAnsi="Georgia"/>
          <w:sz w:val="20"/>
          <w:szCs w:val="20"/>
        </w:rPr>
        <w:t>fringement proceedings nor could it give rise to any financial liability on the part of one or more Member States”.</w:t>
      </w:r>
    </w:p>
  </w:footnote>
  <w:footnote w:id="19">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“if it considers [it] necessary to enable [the </w:t>
      </w:r>
      <w:r>
        <w:rPr>
          <w:rFonts w:ascii="Georgia" w:hAnsi="Georgia"/>
          <w:sz w:val="20"/>
          <w:szCs w:val="20"/>
        </w:rPr>
        <w:t>CJ</w:t>
      </w:r>
      <w:r w:rsidRPr="00F75A3C">
        <w:rPr>
          <w:rFonts w:ascii="Georgia" w:hAnsi="Georgia"/>
          <w:sz w:val="20"/>
          <w:szCs w:val="20"/>
        </w:rPr>
        <w:t>] to give a decision”</w:t>
      </w:r>
    </w:p>
  </w:footnote>
  <w:footnote w:id="20">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Which would also be the case for the CTM solution, see below under </w:t>
      </w:r>
      <w:r w:rsidRPr="00F75A3C">
        <w:rPr>
          <w:rFonts w:ascii="Georgia" w:hAnsi="Georgia"/>
          <w:i/>
          <w:sz w:val="20"/>
          <w:szCs w:val="20"/>
        </w:rPr>
        <w:t>No. 2.</w:t>
      </w:r>
      <w:r w:rsidRPr="00F75A3C">
        <w:rPr>
          <w:rFonts w:ascii="Georgia" w:hAnsi="Georgia"/>
          <w:sz w:val="20"/>
          <w:szCs w:val="20"/>
        </w:rPr>
        <w:t xml:space="preserve"> </w:t>
      </w:r>
    </w:p>
  </w:footnote>
  <w:footnote w:id="21">
    <w:p w:rsidR="00801430" w:rsidRDefault="00801430" w:rsidP="009E7E64">
      <w:pPr>
        <w:pStyle w:val="Voetnoottekst"/>
        <w:tabs>
          <w:tab w:val="clear" w:pos="720"/>
          <w:tab w:val="left" w:pos="1470"/>
        </w:tabs>
        <w:ind w:left="1155" w:firstLine="0"/>
      </w:pPr>
      <w:r w:rsidRPr="00F75A3C">
        <w:rPr>
          <w:rStyle w:val="Voetnootmarkering"/>
          <w:rFonts w:ascii="Georgia" w:hAnsi="Georgia"/>
          <w:sz w:val="20"/>
          <w:szCs w:val="20"/>
        </w:rPr>
        <w:footnoteRef/>
      </w:r>
      <w:r w:rsidRPr="00F75A3C">
        <w:rPr>
          <w:rFonts w:ascii="Georgia" w:hAnsi="Georgia"/>
          <w:sz w:val="20"/>
          <w:szCs w:val="20"/>
        </w:rPr>
        <w:t xml:space="preserve"> See par. 77: Admissible are only systems which “do</w:t>
      </w:r>
      <w:r w:rsidRPr="00F75A3C">
        <w:rPr>
          <w:rFonts w:ascii="Georgia" w:hAnsi="Georgia"/>
          <w:color w:val="000000"/>
          <w:sz w:val="20"/>
          <w:szCs w:val="20"/>
        </w:rPr>
        <w:t xml:space="preserve"> not affect the powers of the courts and tribunals of Member States in relation to the interpretation and application of European Union law, nor the power, or indeed the obligation, of those courts and tribunals to request a preliminary ruling from the Court of Justice”.</w:t>
      </w:r>
    </w:p>
  </w:footnote>
  <w:footnote w:id="22">
    <w:p w:rsidR="00801430" w:rsidRPr="00C2663E" w:rsidRDefault="00801430" w:rsidP="00C2663E">
      <w:pPr>
        <w:ind w:left="1155"/>
        <w:rPr>
          <w:rFonts w:ascii="Georgia" w:hAnsi="Georgia"/>
          <w:sz w:val="20"/>
          <w:szCs w:val="20"/>
        </w:rPr>
      </w:pPr>
      <w:r w:rsidRPr="00C2663E">
        <w:rPr>
          <w:rStyle w:val="Voetnootmarkering"/>
          <w:rFonts w:ascii="Georgia" w:hAnsi="Georgia"/>
          <w:sz w:val="20"/>
          <w:szCs w:val="20"/>
        </w:rPr>
        <w:footnoteRef/>
      </w:r>
      <w:r w:rsidRPr="00C2663E">
        <w:rPr>
          <w:rFonts w:ascii="Georgia" w:hAnsi="Georgia"/>
          <w:sz w:val="20"/>
          <w:szCs w:val="20"/>
        </w:rPr>
        <w:t xml:space="preserve"> See Art. 6 (2) of the Draft Agreement: ..” two permanent judges, who shall be nationals of the Contracting State hosting the division concerned, and one judge from the Pool of Judges. </w:t>
      </w:r>
    </w:p>
    <w:p w:rsidR="00801430" w:rsidRDefault="00801430">
      <w:pPr>
        <w:pStyle w:val="Voetnoottekst"/>
      </w:pPr>
      <w:r>
        <w:t xml:space="preserve"> </w:t>
      </w:r>
    </w:p>
  </w:footnote>
  <w:footnote w:id="23">
    <w:p w:rsidR="00801430" w:rsidRDefault="00801430" w:rsidP="009E7E64">
      <w:pPr>
        <w:pStyle w:val="Voetnoottekst"/>
        <w:ind w:left="1155"/>
      </w:pPr>
      <w:r w:rsidRPr="00F75A3C">
        <w:rPr>
          <w:sz w:val="20"/>
          <w:szCs w:val="20"/>
        </w:rPr>
        <w:tab/>
      </w:r>
      <w:r w:rsidRPr="00F75A3C">
        <w:rPr>
          <w:sz w:val="20"/>
          <w:szCs w:val="20"/>
        </w:rPr>
        <w:tab/>
      </w:r>
      <w:r w:rsidRPr="00F75A3C">
        <w:rPr>
          <w:rStyle w:val="Voetnootmarkering"/>
          <w:rFonts w:ascii="Georgia" w:hAnsi="Georgia"/>
          <w:sz w:val="20"/>
          <w:szCs w:val="20"/>
        </w:rPr>
        <w:footnoteRef/>
      </w:r>
      <w:r w:rsidRPr="00F75A3C">
        <w:rPr>
          <w:rFonts w:ascii="Georgia" w:hAnsi="Georgia"/>
          <w:sz w:val="20"/>
          <w:szCs w:val="20"/>
        </w:rPr>
        <w:t xml:space="preserve"> See par. 68: “</w:t>
      </w:r>
      <w:r w:rsidRPr="00F75A3C">
        <w:rPr>
          <w:rFonts w:ascii="Georgia" w:hAnsi="Georgia"/>
          <w:color w:val="000000"/>
          <w:sz w:val="20"/>
          <w:szCs w:val="20"/>
        </w:rPr>
        <w:t>to ensure the full application of European Union law in all Member States”</w:t>
      </w:r>
    </w:p>
  </w:footnote>
  <w:footnote w:id="24">
    <w:p w:rsidR="00801430" w:rsidRDefault="00801430" w:rsidP="00155900">
      <w:pPr>
        <w:pStyle w:val="Voetnoottekst"/>
        <w:ind w:left="1155" w:firstLine="0"/>
      </w:pPr>
      <w:r w:rsidRPr="00F75A3C">
        <w:rPr>
          <w:rStyle w:val="Voetnootmarkering"/>
          <w:rFonts w:ascii="Georgia" w:hAnsi="Georgia"/>
          <w:sz w:val="20"/>
          <w:szCs w:val="20"/>
        </w:rPr>
        <w:footnoteRef/>
      </w:r>
      <w:r w:rsidRPr="00F75A3C">
        <w:rPr>
          <w:rFonts w:ascii="Georgia" w:hAnsi="Georgia"/>
          <w:sz w:val="20"/>
          <w:szCs w:val="20"/>
        </w:rPr>
        <w:t xml:space="preserve"> </w:t>
      </w:r>
      <w:r w:rsidRPr="00F75A3C">
        <w:rPr>
          <w:rFonts w:ascii="Georgia" w:hAnsi="Georgia"/>
          <w:i/>
          <w:sz w:val="20"/>
          <w:szCs w:val="20"/>
        </w:rPr>
        <w:t>Pagenberg</w:t>
      </w:r>
      <w:r w:rsidRPr="00F75A3C">
        <w:rPr>
          <w:rFonts w:ascii="Georgia" w:hAnsi="Georgia"/>
          <w:sz w:val="20"/>
          <w:szCs w:val="20"/>
        </w:rPr>
        <w:t xml:space="preserve">, “Turbulent times for EU Patent,  </w:t>
      </w:r>
      <w:r w:rsidRPr="00F75A3C">
        <w:rPr>
          <w:rFonts w:ascii="Georgia" w:hAnsi="Georgia"/>
          <w:sz w:val="20"/>
          <w:szCs w:val="20"/>
          <w:u w:val="single"/>
        </w:rPr>
        <w:t xml:space="preserve">; </w:t>
      </w:r>
      <w:r w:rsidRPr="00F75A3C">
        <w:rPr>
          <w:rFonts w:ascii="Georgia" w:hAnsi="Georgia"/>
          <w:i/>
          <w:sz w:val="20"/>
          <w:szCs w:val="20"/>
          <w:u w:val="single"/>
        </w:rPr>
        <w:t>id</w:t>
      </w:r>
      <w:r w:rsidRPr="00F75A3C">
        <w:rPr>
          <w:rFonts w:ascii="Georgia" w:hAnsi="Georgia"/>
          <w:sz w:val="20"/>
          <w:szCs w:val="20"/>
        </w:rPr>
        <w:t>, Back to the Future with EPLA? , see note 1 supra.</w:t>
      </w:r>
    </w:p>
  </w:footnote>
  <w:footnote w:id="25">
    <w:p w:rsidR="00801430" w:rsidRDefault="00801430" w:rsidP="00155900">
      <w:pPr>
        <w:pStyle w:val="Voetnoottekst"/>
        <w:ind w:left="1155" w:firstLine="0"/>
      </w:pPr>
      <w:r>
        <w:rPr>
          <w:rFonts w:ascii="Georgia" w:hAnsi="Georgia"/>
          <w:sz w:val="20"/>
          <w:szCs w:val="20"/>
        </w:rPr>
        <w:t xml:space="preserve"> </w:t>
      </w:r>
      <w:r w:rsidRPr="00F75A3C">
        <w:rPr>
          <w:rStyle w:val="Voetnootmarkering"/>
          <w:rFonts w:ascii="Georgia" w:hAnsi="Georgia"/>
          <w:sz w:val="20"/>
          <w:szCs w:val="20"/>
        </w:rPr>
        <w:footnoteRef/>
      </w:r>
      <w:r w:rsidRPr="00F75A3C">
        <w:rPr>
          <w:rFonts w:ascii="Georgia" w:hAnsi="Georgia"/>
          <w:sz w:val="20"/>
          <w:szCs w:val="20"/>
        </w:rPr>
        <w:t xml:space="preserve"> Par. 60 of the Opinion</w:t>
      </w:r>
    </w:p>
  </w:footnote>
  <w:footnote w:id="26">
    <w:p w:rsidR="00801430" w:rsidRPr="00F75A3C" w:rsidRDefault="00801430" w:rsidP="00155900">
      <w:pPr>
        <w:autoSpaceDE w:val="0"/>
        <w:autoSpaceDN w:val="0"/>
        <w:adjustRightInd w:val="0"/>
        <w:spacing w:line="240" w:lineRule="auto"/>
        <w:ind w:left="1155"/>
        <w:rPr>
          <w:rFonts w:ascii="Georgia" w:hAnsi="Georgia"/>
          <w:sz w:val="20"/>
          <w:szCs w:val="20"/>
        </w:rPr>
      </w:pPr>
      <w:r w:rsidRPr="00F75A3C">
        <w:rPr>
          <w:rStyle w:val="Voetnootmarkering"/>
          <w:rFonts w:ascii="Georgia" w:hAnsi="Georgia"/>
          <w:sz w:val="20"/>
          <w:szCs w:val="20"/>
        </w:rPr>
        <w:footnoteRef/>
      </w:r>
      <w:r w:rsidRPr="00F75A3C">
        <w:rPr>
          <w:rFonts w:ascii="Georgia" w:hAnsi="Georgia"/>
          <w:sz w:val="20"/>
          <w:szCs w:val="20"/>
        </w:rPr>
        <w:t xml:space="preserve"> It may be recalled that according to the Council decisions of 9 December 2009 “</w:t>
      </w:r>
      <w:r w:rsidRPr="00F75A3C">
        <w:rPr>
          <w:rFonts w:ascii="Georgia" w:hAnsi="Georgia" w:cs="TTA20CB448t00"/>
          <w:sz w:val="20"/>
          <w:szCs w:val="20"/>
        </w:rPr>
        <w:t xml:space="preserve">such an enhanced patent system is a vital element of the Internal Market </w:t>
      </w:r>
      <w:r w:rsidRPr="00F75A3C">
        <w:rPr>
          <w:rFonts w:ascii="Georgia" w:hAnsi="Georgia"/>
          <w:sz w:val="20"/>
          <w:szCs w:val="20"/>
        </w:rPr>
        <w:t xml:space="preserve">and should be based </w:t>
      </w:r>
      <w:r w:rsidRPr="00F75A3C">
        <w:rPr>
          <w:rFonts w:ascii="Georgia" w:hAnsi="Georgia"/>
          <w:sz w:val="20"/>
          <w:szCs w:val="20"/>
          <w:u w:val="single"/>
        </w:rPr>
        <w:t>on two pillars</w:t>
      </w:r>
      <w:r w:rsidRPr="00F75A3C">
        <w:rPr>
          <w:rFonts w:ascii="Georgia" w:hAnsi="Georgia"/>
          <w:sz w:val="20"/>
          <w:szCs w:val="20"/>
        </w:rPr>
        <w:t>, i.e. the creation of a European Union patent (hereafter "EU patent") and the setting up of an integrated specialised and unified jurisdiction for patent related disputes</w:t>
      </w:r>
    </w:p>
    <w:p w:rsidR="00801430" w:rsidRDefault="00801430" w:rsidP="00155900">
      <w:pPr>
        <w:autoSpaceDE w:val="0"/>
        <w:autoSpaceDN w:val="0"/>
        <w:adjustRightInd w:val="0"/>
        <w:spacing w:line="240" w:lineRule="auto"/>
        <w:ind w:left="115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0" w:rsidRDefault="00801430">
    <w:pPr>
      <w:pStyle w:val="Koptekst"/>
      <w:jc w:val="center"/>
    </w:pPr>
    <w:r>
      <w:t xml:space="preserve">- </w:t>
    </w:r>
    <w:r w:rsidR="009919BB">
      <w:fldChar w:fldCharType="begin"/>
    </w:r>
    <w:r w:rsidR="009919BB">
      <w:instrText xml:space="preserve"> PAGE  \* MERGEFORMAT </w:instrText>
    </w:r>
    <w:r w:rsidR="009919BB">
      <w:fldChar w:fldCharType="separate"/>
    </w:r>
    <w:r w:rsidR="00923F09">
      <w:rPr>
        <w:noProof/>
      </w:rPr>
      <w:t>5</w:t>
    </w:r>
    <w:r w:rsidR="009919BB">
      <w:rPr>
        <w:noProof/>
      </w:rPr>
      <w:fldChar w:fldCharType="end"/>
    </w:r>
    <w:r>
      <w:t xml:space="preserve"> -</w:t>
    </w:r>
  </w:p>
  <w:p w:rsidR="00801430" w:rsidRDefault="00801430">
    <w:pPr>
      <w:pStyle w:val="Koptek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6E8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1C59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7C6C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BEAA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669B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9815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A80B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6C26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604D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9C8D02"/>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D3F2DB3"/>
    <w:multiLevelType w:val="hybridMultilevel"/>
    <w:tmpl w:val="53FA1748"/>
    <w:lvl w:ilvl="0" w:tplc="43A44E5A">
      <w:start w:val="1"/>
      <w:numFmt w:val="decimal"/>
      <w:lvlText w:val="%1."/>
      <w:lvlJc w:val="left"/>
      <w:pPr>
        <w:tabs>
          <w:tab w:val="num" w:pos="1515"/>
        </w:tabs>
        <w:ind w:left="1515" w:hanging="360"/>
      </w:pPr>
      <w:rPr>
        <w:rFonts w:cs="Times New Roman" w:hint="default"/>
      </w:rPr>
    </w:lvl>
    <w:lvl w:ilvl="1" w:tplc="04070019" w:tentative="1">
      <w:start w:val="1"/>
      <w:numFmt w:val="lowerLetter"/>
      <w:lvlText w:val="%2."/>
      <w:lvlJc w:val="left"/>
      <w:pPr>
        <w:tabs>
          <w:tab w:val="num" w:pos="2235"/>
        </w:tabs>
        <w:ind w:left="2235" w:hanging="360"/>
      </w:pPr>
      <w:rPr>
        <w:rFonts w:cs="Times New Roman"/>
      </w:rPr>
    </w:lvl>
    <w:lvl w:ilvl="2" w:tplc="0407001B" w:tentative="1">
      <w:start w:val="1"/>
      <w:numFmt w:val="lowerRoman"/>
      <w:lvlText w:val="%3."/>
      <w:lvlJc w:val="right"/>
      <w:pPr>
        <w:tabs>
          <w:tab w:val="num" w:pos="2955"/>
        </w:tabs>
        <w:ind w:left="2955" w:hanging="180"/>
      </w:pPr>
      <w:rPr>
        <w:rFonts w:cs="Times New Roman"/>
      </w:rPr>
    </w:lvl>
    <w:lvl w:ilvl="3" w:tplc="0407000F" w:tentative="1">
      <w:start w:val="1"/>
      <w:numFmt w:val="decimal"/>
      <w:lvlText w:val="%4."/>
      <w:lvlJc w:val="left"/>
      <w:pPr>
        <w:tabs>
          <w:tab w:val="num" w:pos="3675"/>
        </w:tabs>
        <w:ind w:left="3675" w:hanging="360"/>
      </w:pPr>
      <w:rPr>
        <w:rFonts w:cs="Times New Roman"/>
      </w:rPr>
    </w:lvl>
    <w:lvl w:ilvl="4" w:tplc="04070019" w:tentative="1">
      <w:start w:val="1"/>
      <w:numFmt w:val="lowerLetter"/>
      <w:lvlText w:val="%5."/>
      <w:lvlJc w:val="left"/>
      <w:pPr>
        <w:tabs>
          <w:tab w:val="num" w:pos="4395"/>
        </w:tabs>
        <w:ind w:left="4395" w:hanging="360"/>
      </w:pPr>
      <w:rPr>
        <w:rFonts w:cs="Times New Roman"/>
      </w:rPr>
    </w:lvl>
    <w:lvl w:ilvl="5" w:tplc="0407001B" w:tentative="1">
      <w:start w:val="1"/>
      <w:numFmt w:val="lowerRoman"/>
      <w:lvlText w:val="%6."/>
      <w:lvlJc w:val="right"/>
      <w:pPr>
        <w:tabs>
          <w:tab w:val="num" w:pos="5115"/>
        </w:tabs>
        <w:ind w:left="5115" w:hanging="180"/>
      </w:pPr>
      <w:rPr>
        <w:rFonts w:cs="Times New Roman"/>
      </w:rPr>
    </w:lvl>
    <w:lvl w:ilvl="6" w:tplc="0407000F" w:tentative="1">
      <w:start w:val="1"/>
      <w:numFmt w:val="decimal"/>
      <w:lvlText w:val="%7."/>
      <w:lvlJc w:val="left"/>
      <w:pPr>
        <w:tabs>
          <w:tab w:val="num" w:pos="5835"/>
        </w:tabs>
        <w:ind w:left="5835" w:hanging="360"/>
      </w:pPr>
      <w:rPr>
        <w:rFonts w:cs="Times New Roman"/>
      </w:rPr>
    </w:lvl>
    <w:lvl w:ilvl="7" w:tplc="04070019" w:tentative="1">
      <w:start w:val="1"/>
      <w:numFmt w:val="lowerLetter"/>
      <w:lvlText w:val="%8."/>
      <w:lvlJc w:val="left"/>
      <w:pPr>
        <w:tabs>
          <w:tab w:val="num" w:pos="6555"/>
        </w:tabs>
        <w:ind w:left="6555" w:hanging="360"/>
      </w:pPr>
      <w:rPr>
        <w:rFonts w:cs="Times New Roman"/>
      </w:rPr>
    </w:lvl>
    <w:lvl w:ilvl="8" w:tplc="0407001B" w:tentative="1">
      <w:start w:val="1"/>
      <w:numFmt w:val="lowerRoman"/>
      <w:lvlText w:val="%9."/>
      <w:lvlJc w:val="right"/>
      <w:pPr>
        <w:tabs>
          <w:tab w:val="num" w:pos="7275"/>
        </w:tabs>
        <w:ind w:left="7275" w:hanging="180"/>
      </w:pPr>
      <w:rPr>
        <w:rFonts w:cs="Times New Roman"/>
      </w:r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Kop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8627FB4"/>
    <w:multiLevelType w:val="hybridMultilevel"/>
    <w:tmpl w:val="69124156"/>
    <w:lvl w:ilvl="0" w:tplc="24124C66">
      <w:start w:val="3"/>
      <w:numFmt w:val="decimal"/>
      <w:lvlText w:val="%1."/>
      <w:lvlJc w:val="left"/>
      <w:pPr>
        <w:tabs>
          <w:tab w:val="num" w:pos="1515"/>
        </w:tabs>
        <w:ind w:left="1515" w:hanging="360"/>
      </w:pPr>
      <w:rPr>
        <w:rFonts w:cs="Times New Roman" w:hint="default"/>
      </w:rPr>
    </w:lvl>
    <w:lvl w:ilvl="1" w:tplc="04070019" w:tentative="1">
      <w:start w:val="1"/>
      <w:numFmt w:val="lowerLetter"/>
      <w:lvlText w:val="%2."/>
      <w:lvlJc w:val="left"/>
      <w:pPr>
        <w:tabs>
          <w:tab w:val="num" w:pos="2235"/>
        </w:tabs>
        <w:ind w:left="2235" w:hanging="360"/>
      </w:pPr>
      <w:rPr>
        <w:rFonts w:cs="Times New Roman"/>
      </w:rPr>
    </w:lvl>
    <w:lvl w:ilvl="2" w:tplc="0407001B" w:tentative="1">
      <w:start w:val="1"/>
      <w:numFmt w:val="lowerRoman"/>
      <w:lvlText w:val="%3."/>
      <w:lvlJc w:val="right"/>
      <w:pPr>
        <w:tabs>
          <w:tab w:val="num" w:pos="2955"/>
        </w:tabs>
        <w:ind w:left="2955" w:hanging="180"/>
      </w:pPr>
      <w:rPr>
        <w:rFonts w:cs="Times New Roman"/>
      </w:rPr>
    </w:lvl>
    <w:lvl w:ilvl="3" w:tplc="0407000F" w:tentative="1">
      <w:start w:val="1"/>
      <w:numFmt w:val="decimal"/>
      <w:lvlText w:val="%4."/>
      <w:lvlJc w:val="left"/>
      <w:pPr>
        <w:tabs>
          <w:tab w:val="num" w:pos="3675"/>
        </w:tabs>
        <w:ind w:left="3675" w:hanging="360"/>
      </w:pPr>
      <w:rPr>
        <w:rFonts w:cs="Times New Roman"/>
      </w:rPr>
    </w:lvl>
    <w:lvl w:ilvl="4" w:tplc="04070019" w:tentative="1">
      <w:start w:val="1"/>
      <w:numFmt w:val="lowerLetter"/>
      <w:lvlText w:val="%5."/>
      <w:lvlJc w:val="left"/>
      <w:pPr>
        <w:tabs>
          <w:tab w:val="num" w:pos="4395"/>
        </w:tabs>
        <w:ind w:left="4395" w:hanging="360"/>
      </w:pPr>
      <w:rPr>
        <w:rFonts w:cs="Times New Roman"/>
      </w:rPr>
    </w:lvl>
    <w:lvl w:ilvl="5" w:tplc="0407001B" w:tentative="1">
      <w:start w:val="1"/>
      <w:numFmt w:val="lowerRoman"/>
      <w:lvlText w:val="%6."/>
      <w:lvlJc w:val="right"/>
      <w:pPr>
        <w:tabs>
          <w:tab w:val="num" w:pos="5115"/>
        </w:tabs>
        <w:ind w:left="5115" w:hanging="180"/>
      </w:pPr>
      <w:rPr>
        <w:rFonts w:cs="Times New Roman"/>
      </w:rPr>
    </w:lvl>
    <w:lvl w:ilvl="6" w:tplc="0407000F" w:tentative="1">
      <w:start w:val="1"/>
      <w:numFmt w:val="decimal"/>
      <w:lvlText w:val="%7."/>
      <w:lvlJc w:val="left"/>
      <w:pPr>
        <w:tabs>
          <w:tab w:val="num" w:pos="5835"/>
        </w:tabs>
        <w:ind w:left="5835" w:hanging="360"/>
      </w:pPr>
      <w:rPr>
        <w:rFonts w:cs="Times New Roman"/>
      </w:rPr>
    </w:lvl>
    <w:lvl w:ilvl="7" w:tplc="04070019" w:tentative="1">
      <w:start w:val="1"/>
      <w:numFmt w:val="lowerLetter"/>
      <w:lvlText w:val="%8."/>
      <w:lvlJc w:val="left"/>
      <w:pPr>
        <w:tabs>
          <w:tab w:val="num" w:pos="6555"/>
        </w:tabs>
        <w:ind w:left="6555" w:hanging="360"/>
      </w:pPr>
      <w:rPr>
        <w:rFonts w:cs="Times New Roman"/>
      </w:rPr>
    </w:lvl>
    <w:lvl w:ilvl="8" w:tplc="0407001B" w:tentative="1">
      <w:start w:val="1"/>
      <w:numFmt w:val="lowerRoman"/>
      <w:lvlText w:val="%9."/>
      <w:lvlJc w:val="right"/>
      <w:pPr>
        <w:tabs>
          <w:tab w:val="num" w:pos="7275"/>
        </w:tabs>
        <w:ind w:left="7275" w:hanging="180"/>
      </w:pPr>
      <w:rPr>
        <w:rFonts w:cs="Times New Roman"/>
      </w:rPr>
    </w:lvl>
  </w:abstractNum>
  <w:abstractNum w:abstractNumId="15">
    <w:nsid w:val="28B14D8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0767DF7"/>
    <w:multiLevelType w:val="hybridMultilevel"/>
    <w:tmpl w:val="651094DE"/>
    <w:lvl w:ilvl="0" w:tplc="20363188">
      <w:start w:val="17"/>
      <w:numFmt w:val="decimal"/>
      <w:lvlText w:val="%1."/>
      <w:lvlJc w:val="left"/>
      <w:pPr>
        <w:tabs>
          <w:tab w:val="num" w:pos="887"/>
        </w:tabs>
        <w:ind w:left="887" w:hanging="360"/>
      </w:pPr>
      <w:rPr>
        <w:rFonts w:cs="Times New Roman" w:hint="default"/>
      </w:rPr>
    </w:lvl>
    <w:lvl w:ilvl="1" w:tplc="04070001">
      <w:start w:val="1"/>
      <w:numFmt w:val="bullet"/>
      <w:lvlText w:val=""/>
      <w:lvlJc w:val="left"/>
      <w:pPr>
        <w:tabs>
          <w:tab w:val="num" w:pos="1607"/>
        </w:tabs>
        <w:ind w:left="1607" w:hanging="360"/>
      </w:pPr>
      <w:rPr>
        <w:rFonts w:ascii="Symbol" w:hAnsi="Symbol" w:hint="default"/>
      </w:rPr>
    </w:lvl>
    <w:lvl w:ilvl="2" w:tplc="72127C2E">
      <w:numFmt w:val="bullet"/>
      <w:lvlText w:val="-"/>
      <w:lvlJc w:val="left"/>
      <w:pPr>
        <w:tabs>
          <w:tab w:val="num" w:pos="2507"/>
        </w:tabs>
        <w:ind w:left="2507" w:hanging="360"/>
      </w:pPr>
      <w:rPr>
        <w:rFonts w:ascii="Times New Roman" w:eastAsia="Times New Roman" w:hAnsi="Times New Roman" w:hint="default"/>
      </w:rPr>
    </w:lvl>
    <w:lvl w:ilvl="3" w:tplc="0407000F" w:tentative="1">
      <w:start w:val="1"/>
      <w:numFmt w:val="decimal"/>
      <w:lvlText w:val="%4."/>
      <w:lvlJc w:val="left"/>
      <w:pPr>
        <w:tabs>
          <w:tab w:val="num" w:pos="3047"/>
        </w:tabs>
        <w:ind w:left="3047" w:hanging="360"/>
      </w:pPr>
      <w:rPr>
        <w:rFonts w:cs="Times New Roman"/>
      </w:rPr>
    </w:lvl>
    <w:lvl w:ilvl="4" w:tplc="04070019" w:tentative="1">
      <w:start w:val="1"/>
      <w:numFmt w:val="lowerLetter"/>
      <w:lvlText w:val="%5."/>
      <w:lvlJc w:val="left"/>
      <w:pPr>
        <w:tabs>
          <w:tab w:val="num" w:pos="3767"/>
        </w:tabs>
        <w:ind w:left="3767" w:hanging="360"/>
      </w:pPr>
      <w:rPr>
        <w:rFonts w:cs="Times New Roman"/>
      </w:rPr>
    </w:lvl>
    <w:lvl w:ilvl="5" w:tplc="0407001B" w:tentative="1">
      <w:start w:val="1"/>
      <w:numFmt w:val="lowerRoman"/>
      <w:lvlText w:val="%6."/>
      <w:lvlJc w:val="right"/>
      <w:pPr>
        <w:tabs>
          <w:tab w:val="num" w:pos="4487"/>
        </w:tabs>
        <w:ind w:left="4487" w:hanging="180"/>
      </w:pPr>
      <w:rPr>
        <w:rFonts w:cs="Times New Roman"/>
      </w:rPr>
    </w:lvl>
    <w:lvl w:ilvl="6" w:tplc="0407000F" w:tentative="1">
      <w:start w:val="1"/>
      <w:numFmt w:val="decimal"/>
      <w:lvlText w:val="%7."/>
      <w:lvlJc w:val="left"/>
      <w:pPr>
        <w:tabs>
          <w:tab w:val="num" w:pos="5207"/>
        </w:tabs>
        <w:ind w:left="5207" w:hanging="360"/>
      </w:pPr>
      <w:rPr>
        <w:rFonts w:cs="Times New Roman"/>
      </w:rPr>
    </w:lvl>
    <w:lvl w:ilvl="7" w:tplc="04070019" w:tentative="1">
      <w:start w:val="1"/>
      <w:numFmt w:val="lowerLetter"/>
      <w:lvlText w:val="%8."/>
      <w:lvlJc w:val="left"/>
      <w:pPr>
        <w:tabs>
          <w:tab w:val="num" w:pos="5927"/>
        </w:tabs>
        <w:ind w:left="5927" w:hanging="360"/>
      </w:pPr>
      <w:rPr>
        <w:rFonts w:cs="Times New Roman"/>
      </w:rPr>
    </w:lvl>
    <w:lvl w:ilvl="8" w:tplc="0407001B" w:tentative="1">
      <w:start w:val="1"/>
      <w:numFmt w:val="lowerRoman"/>
      <w:lvlText w:val="%9."/>
      <w:lvlJc w:val="right"/>
      <w:pPr>
        <w:tabs>
          <w:tab w:val="num" w:pos="6647"/>
        </w:tabs>
        <w:ind w:left="6647" w:hanging="180"/>
      </w:pPr>
      <w:rPr>
        <w:rFonts w:cs="Times New Roman"/>
      </w:rPr>
    </w:lvl>
  </w:abstractNum>
  <w:abstractNum w:abstractNumId="19">
    <w:nsid w:val="5BA21C4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9"/>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num>
  <w:num w:numId="38">
    <w:abstractNumId w:val="10"/>
  </w:num>
  <w:num w:numId="39">
    <w:abstractNumId w:val="10"/>
  </w:num>
  <w:num w:numId="40">
    <w:abstractNumId w:val="10"/>
  </w:num>
  <w:num w:numId="41">
    <w:abstractNumId w:val="10"/>
  </w:num>
  <w:num w:numId="42">
    <w:abstractNumId w:val="15"/>
  </w:num>
  <w:num w:numId="43">
    <w:abstractNumId w:val="13"/>
  </w:num>
  <w:num w:numId="44">
    <w:abstractNumId w:val="16"/>
  </w:num>
  <w:num w:numId="45">
    <w:abstractNumId w:val="17"/>
  </w:num>
  <w:num w:numId="46">
    <w:abstractNumId w:val="11"/>
  </w:num>
  <w:num w:numId="47">
    <w:abstractNumId w:val="18"/>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44"/>
    <w:rsid w:val="00003D7A"/>
    <w:rsid w:val="00003EC2"/>
    <w:rsid w:val="00015246"/>
    <w:rsid w:val="00021AB1"/>
    <w:rsid w:val="0002265E"/>
    <w:rsid w:val="000245E6"/>
    <w:rsid w:val="000428F4"/>
    <w:rsid w:val="00044EAB"/>
    <w:rsid w:val="000668A0"/>
    <w:rsid w:val="000668FD"/>
    <w:rsid w:val="000727A3"/>
    <w:rsid w:val="00073182"/>
    <w:rsid w:val="0007686F"/>
    <w:rsid w:val="000A2213"/>
    <w:rsid w:val="000A475C"/>
    <w:rsid w:val="000B1A14"/>
    <w:rsid w:val="000B65AA"/>
    <w:rsid w:val="000C1335"/>
    <w:rsid w:val="000C44F1"/>
    <w:rsid w:val="000E7603"/>
    <w:rsid w:val="000F34A7"/>
    <w:rsid w:val="001117E4"/>
    <w:rsid w:val="0012095F"/>
    <w:rsid w:val="0012328E"/>
    <w:rsid w:val="001358DB"/>
    <w:rsid w:val="00155900"/>
    <w:rsid w:val="00162138"/>
    <w:rsid w:val="00174159"/>
    <w:rsid w:val="0019175E"/>
    <w:rsid w:val="001944A6"/>
    <w:rsid w:val="00196731"/>
    <w:rsid w:val="001A66FE"/>
    <w:rsid w:val="001B6916"/>
    <w:rsid w:val="001F2570"/>
    <w:rsid w:val="00201223"/>
    <w:rsid w:val="002107D6"/>
    <w:rsid w:val="0021172B"/>
    <w:rsid w:val="00217E79"/>
    <w:rsid w:val="00221667"/>
    <w:rsid w:val="00223FEC"/>
    <w:rsid w:val="00230142"/>
    <w:rsid w:val="00232D24"/>
    <w:rsid w:val="002419F4"/>
    <w:rsid w:val="00243790"/>
    <w:rsid w:val="00246848"/>
    <w:rsid w:val="0025766E"/>
    <w:rsid w:val="002674F7"/>
    <w:rsid w:val="002713AD"/>
    <w:rsid w:val="00283B98"/>
    <w:rsid w:val="002878CF"/>
    <w:rsid w:val="00293E9E"/>
    <w:rsid w:val="002A6228"/>
    <w:rsid w:val="002B04F1"/>
    <w:rsid w:val="002C69A9"/>
    <w:rsid w:val="002F32EE"/>
    <w:rsid w:val="00303163"/>
    <w:rsid w:val="0030396D"/>
    <w:rsid w:val="003142AD"/>
    <w:rsid w:val="00324B5E"/>
    <w:rsid w:val="0036010B"/>
    <w:rsid w:val="00382F65"/>
    <w:rsid w:val="003861B1"/>
    <w:rsid w:val="00394223"/>
    <w:rsid w:val="003971D3"/>
    <w:rsid w:val="003E7B4D"/>
    <w:rsid w:val="004006CF"/>
    <w:rsid w:val="00403A03"/>
    <w:rsid w:val="00410FAC"/>
    <w:rsid w:val="0041309D"/>
    <w:rsid w:val="00422C48"/>
    <w:rsid w:val="00464938"/>
    <w:rsid w:val="00464966"/>
    <w:rsid w:val="00465CC9"/>
    <w:rsid w:val="00465E97"/>
    <w:rsid w:val="004713CE"/>
    <w:rsid w:val="00490966"/>
    <w:rsid w:val="004A3DDC"/>
    <w:rsid w:val="004A5C2F"/>
    <w:rsid w:val="004A6E4A"/>
    <w:rsid w:val="004D7EA6"/>
    <w:rsid w:val="004E5C76"/>
    <w:rsid w:val="004E5DF5"/>
    <w:rsid w:val="004F56D8"/>
    <w:rsid w:val="00501BCE"/>
    <w:rsid w:val="00502FA1"/>
    <w:rsid w:val="00504767"/>
    <w:rsid w:val="00507561"/>
    <w:rsid w:val="0056147E"/>
    <w:rsid w:val="00580731"/>
    <w:rsid w:val="0058395C"/>
    <w:rsid w:val="0059553B"/>
    <w:rsid w:val="005976D8"/>
    <w:rsid w:val="005B7CCA"/>
    <w:rsid w:val="005D2FC4"/>
    <w:rsid w:val="005D386F"/>
    <w:rsid w:val="005D6AD2"/>
    <w:rsid w:val="005F0844"/>
    <w:rsid w:val="005F7FEF"/>
    <w:rsid w:val="00613D88"/>
    <w:rsid w:val="0065083B"/>
    <w:rsid w:val="00661A3F"/>
    <w:rsid w:val="00665CAC"/>
    <w:rsid w:val="0068790C"/>
    <w:rsid w:val="00687FCA"/>
    <w:rsid w:val="006A36FC"/>
    <w:rsid w:val="006A3C72"/>
    <w:rsid w:val="006E22ED"/>
    <w:rsid w:val="006E3467"/>
    <w:rsid w:val="006F1786"/>
    <w:rsid w:val="007075A3"/>
    <w:rsid w:val="00733264"/>
    <w:rsid w:val="00736741"/>
    <w:rsid w:val="007402B1"/>
    <w:rsid w:val="0075453D"/>
    <w:rsid w:val="00773ED8"/>
    <w:rsid w:val="00774489"/>
    <w:rsid w:val="00775D02"/>
    <w:rsid w:val="00786EEC"/>
    <w:rsid w:val="00801430"/>
    <w:rsid w:val="00804DA9"/>
    <w:rsid w:val="0082374C"/>
    <w:rsid w:val="00854145"/>
    <w:rsid w:val="00864E96"/>
    <w:rsid w:val="00864FC8"/>
    <w:rsid w:val="00870896"/>
    <w:rsid w:val="00886F21"/>
    <w:rsid w:val="008A3D31"/>
    <w:rsid w:val="008C4D90"/>
    <w:rsid w:val="008C64EB"/>
    <w:rsid w:val="008D4ACF"/>
    <w:rsid w:val="008E1A2B"/>
    <w:rsid w:val="008E777A"/>
    <w:rsid w:val="00902B0D"/>
    <w:rsid w:val="009162FA"/>
    <w:rsid w:val="00923F09"/>
    <w:rsid w:val="00925F4B"/>
    <w:rsid w:val="009437DE"/>
    <w:rsid w:val="00954317"/>
    <w:rsid w:val="00960822"/>
    <w:rsid w:val="009814B7"/>
    <w:rsid w:val="00983A6C"/>
    <w:rsid w:val="00983E0C"/>
    <w:rsid w:val="00984F07"/>
    <w:rsid w:val="009919BB"/>
    <w:rsid w:val="0099329A"/>
    <w:rsid w:val="009A304B"/>
    <w:rsid w:val="009A7210"/>
    <w:rsid w:val="009D4AF6"/>
    <w:rsid w:val="009E4BE9"/>
    <w:rsid w:val="009E7E64"/>
    <w:rsid w:val="009F275E"/>
    <w:rsid w:val="00A115EC"/>
    <w:rsid w:val="00A36994"/>
    <w:rsid w:val="00A74F50"/>
    <w:rsid w:val="00A769A9"/>
    <w:rsid w:val="00AA2AC9"/>
    <w:rsid w:val="00AB28BE"/>
    <w:rsid w:val="00AB3123"/>
    <w:rsid w:val="00AB5FFC"/>
    <w:rsid w:val="00AD7744"/>
    <w:rsid w:val="00B522AB"/>
    <w:rsid w:val="00B5411A"/>
    <w:rsid w:val="00B6251F"/>
    <w:rsid w:val="00B76667"/>
    <w:rsid w:val="00BA2709"/>
    <w:rsid w:val="00BC250F"/>
    <w:rsid w:val="00BF4B1E"/>
    <w:rsid w:val="00C107DC"/>
    <w:rsid w:val="00C2490E"/>
    <w:rsid w:val="00C25C4E"/>
    <w:rsid w:val="00C2663E"/>
    <w:rsid w:val="00C63B75"/>
    <w:rsid w:val="00C96130"/>
    <w:rsid w:val="00CC0B0E"/>
    <w:rsid w:val="00CE7F64"/>
    <w:rsid w:val="00CF7B07"/>
    <w:rsid w:val="00D00487"/>
    <w:rsid w:val="00D013CB"/>
    <w:rsid w:val="00D063D0"/>
    <w:rsid w:val="00D403D4"/>
    <w:rsid w:val="00D44669"/>
    <w:rsid w:val="00D525B9"/>
    <w:rsid w:val="00D946B9"/>
    <w:rsid w:val="00DA75C4"/>
    <w:rsid w:val="00DC05C3"/>
    <w:rsid w:val="00DD67BF"/>
    <w:rsid w:val="00DE52C3"/>
    <w:rsid w:val="00E21B6B"/>
    <w:rsid w:val="00E31B6F"/>
    <w:rsid w:val="00E41DB9"/>
    <w:rsid w:val="00E45C9B"/>
    <w:rsid w:val="00E50B13"/>
    <w:rsid w:val="00E6496F"/>
    <w:rsid w:val="00E82281"/>
    <w:rsid w:val="00E86FC7"/>
    <w:rsid w:val="00F01E06"/>
    <w:rsid w:val="00F03F66"/>
    <w:rsid w:val="00F0599E"/>
    <w:rsid w:val="00F135E7"/>
    <w:rsid w:val="00F1612B"/>
    <w:rsid w:val="00F61732"/>
    <w:rsid w:val="00F66FEF"/>
    <w:rsid w:val="00F75A3C"/>
    <w:rsid w:val="00F76590"/>
    <w:rsid w:val="00F82163"/>
    <w:rsid w:val="00FA014C"/>
    <w:rsid w:val="00FA55D6"/>
    <w:rsid w:val="00FA7FD4"/>
    <w:rsid w:val="00FC3201"/>
    <w:rsid w:val="00FC52BE"/>
    <w:rsid w:val="00FD36D2"/>
    <w:rsid w:val="00FD3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2265E"/>
    <w:pPr>
      <w:spacing w:line="264" w:lineRule="auto"/>
      <w:jc w:val="both"/>
    </w:pPr>
    <w:rPr>
      <w:rFonts w:ascii="Arial" w:hAnsi="Arial"/>
      <w:sz w:val="21"/>
      <w:szCs w:val="24"/>
      <w:lang w:val="en-GB" w:eastAsia="en-US"/>
    </w:rPr>
  </w:style>
  <w:style w:type="paragraph" w:styleId="Kop1">
    <w:name w:val="heading 1"/>
    <w:basedOn w:val="Standaard"/>
    <w:next w:val="Standaard"/>
    <w:link w:val="Kop1Char"/>
    <w:uiPriority w:val="99"/>
    <w:qFormat/>
    <w:rsid w:val="0002265E"/>
    <w:pPr>
      <w:keepNext/>
      <w:spacing w:before="240" w:after="60"/>
      <w:outlineLvl w:val="0"/>
    </w:pPr>
    <w:rPr>
      <w:b/>
      <w:sz w:val="28"/>
    </w:rPr>
  </w:style>
  <w:style w:type="paragraph" w:styleId="Kop2">
    <w:name w:val="heading 2"/>
    <w:basedOn w:val="Standaard"/>
    <w:next w:val="Standaard"/>
    <w:link w:val="Kop2Char"/>
    <w:uiPriority w:val="99"/>
    <w:qFormat/>
    <w:rsid w:val="0002265E"/>
    <w:pPr>
      <w:keepNext/>
      <w:spacing w:before="240" w:after="60"/>
      <w:outlineLvl w:val="1"/>
    </w:pPr>
    <w:rPr>
      <w:b/>
      <w:i/>
      <w:sz w:val="24"/>
    </w:rPr>
  </w:style>
  <w:style w:type="paragraph" w:styleId="Kop3">
    <w:name w:val="heading 3"/>
    <w:basedOn w:val="Standaard"/>
    <w:next w:val="Standaard"/>
    <w:link w:val="Kop3Char"/>
    <w:uiPriority w:val="99"/>
    <w:qFormat/>
    <w:rsid w:val="0002265E"/>
    <w:pPr>
      <w:keepNext/>
      <w:spacing w:before="240" w:after="60"/>
      <w:outlineLvl w:val="2"/>
    </w:pPr>
    <w:rPr>
      <w:sz w:val="24"/>
    </w:rPr>
  </w:style>
  <w:style w:type="paragraph" w:styleId="Kop4">
    <w:name w:val="heading 4"/>
    <w:basedOn w:val="Standaard"/>
    <w:next w:val="Standaard"/>
    <w:link w:val="Kop4Char"/>
    <w:uiPriority w:val="99"/>
    <w:qFormat/>
    <w:rsid w:val="0002265E"/>
    <w:pPr>
      <w:keepNext/>
      <w:numPr>
        <w:ilvl w:val="3"/>
        <w:numId w:val="43"/>
      </w:numPr>
      <w:spacing w:before="240" w:after="60"/>
      <w:outlineLvl w:val="3"/>
    </w:pPr>
    <w:rPr>
      <w:rFonts w:ascii="Arial Bold" w:hAnsi="Arial Bold"/>
      <w:b/>
    </w:rPr>
  </w:style>
  <w:style w:type="paragraph" w:styleId="Kop5">
    <w:name w:val="heading 5"/>
    <w:basedOn w:val="Standaard"/>
    <w:next w:val="Standaard"/>
    <w:link w:val="Kop5Char"/>
    <w:uiPriority w:val="99"/>
    <w:qFormat/>
    <w:rsid w:val="0002265E"/>
    <w:pPr>
      <w:spacing w:before="240" w:after="60"/>
      <w:outlineLvl w:val="4"/>
    </w:pPr>
    <w:rPr>
      <w:sz w:val="22"/>
    </w:rPr>
  </w:style>
  <w:style w:type="paragraph" w:styleId="Kop6">
    <w:name w:val="heading 6"/>
    <w:basedOn w:val="Standaard"/>
    <w:next w:val="Standaard"/>
    <w:link w:val="Kop6Char"/>
    <w:uiPriority w:val="99"/>
    <w:qFormat/>
    <w:rsid w:val="0002265E"/>
    <w:pPr>
      <w:spacing w:before="240" w:after="60"/>
      <w:outlineLvl w:val="5"/>
    </w:pPr>
    <w:rPr>
      <w:rFonts w:ascii="Times New Roman" w:hAnsi="Times New Roman"/>
      <w:i/>
      <w:sz w:val="22"/>
    </w:rPr>
  </w:style>
  <w:style w:type="paragraph" w:styleId="Kop7">
    <w:name w:val="heading 7"/>
    <w:basedOn w:val="Standaard"/>
    <w:next w:val="Standaard"/>
    <w:link w:val="Kop7Char"/>
    <w:uiPriority w:val="99"/>
    <w:qFormat/>
    <w:rsid w:val="0002265E"/>
    <w:pPr>
      <w:spacing w:before="240" w:after="60"/>
      <w:outlineLvl w:val="6"/>
    </w:pPr>
    <w:rPr>
      <w:sz w:val="20"/>
    </w:rPr>
  </w:style>
  <w:style w:type="paragraph" w:styleId="Kop8">
    <w:name w:val="heading 8"/>
    <w:basedOn w:val="Standaard"/>
    <w:next w:val="Standaard"/>
    <w:link w:val="Kop8Char"/>
    <w:uiPriority w:val="99"/>
    <w:qFormat/>
    <w:rsid w:val="0002265E"/>
    <w:pPr>
      <w:spacing w:before="240" w:after="60"/>
      <w:outlineLvl w:val="7"/>
    </w:pPr>
    <w:rPr>
      <w:i/>
      <w:sz w:val="20"/>
    </w:rPr>
  </w:style>
  <w:style w:type="paragraph" w:styleId="Kop9">
    <w:name w:val="heading 9"/>
    <w:basedOn w:val="Standaard"/>
    <w:next w:val="Standaard"/>
    <w:link w:val="Kop9Char"/>
    <w:uiPriority w:val="99"/>
    <w:qFormat/>
    <w:rsid w:val="0002265E"/>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F21"/>
    <w:rPr>
      <w:rFonts w:ascii="Cambria" w:hAnsi="Cambria" w:cs="Times New Roman"/>
      <w:b/>
      <w:bCs/>
      <w:kern w:val="32"/>
      <w:sz w:val="32"/>
      <w:szCs w:val="32"/>
      <w:lang w:val="en-GB" w:eastAsia="en-US"/>
    </w:rPr>
  </w:style>
  <w:style w:type="character" w:customStyle="1" w:styleId="Kop2Char">
    <w:name w:val="Kop 2 Char"/>
    <w:basedOn w:val="Standaardalinea-lettertype"/>
    <w:link w:val="Kop2"/>
    <w:uiPriority w:val="99"/>
    <w:semiHidden/>
    <w:locked/>
    <w:rsid w:val="00886F21"/>
    <w:rPr>
      <w:rFonts w:ascii="Cambria" w:hAnsi="Cambria" w:cs="Times New Roman"/>
      <w:b/>
      <w:bCs/>
      <w:i/>
      <w:iCs/>
      <w:sz w:val="28"/>
      <w:szCs w:val="28"/>
      <w:lang w:val="en-GB" w:eastAsia="en-US"/>
    </w:rPr>
  </w:style>
  <w:style w:type="character" w:customStyle="1" w:styleId="Kop3Char">
    <w:name w:val="Kop 3 Char"/>
    <w:basedOn w:val="Standaardalinea-lettertype"/>
    <w:link w:val="Kop3"/>
    <w:uiPriority w:val="99"/>
    <w:semiHidden/>
    <w:locked/>
    <w:rsid w:val="00886F21"/>
    <w:rPr>
      <w:rFonts w:ascii="Cambria" w:hAnsi="Cambria" w:cs="Times New Roman"/>
      <w:b/>
      <w:bCs/>
      <w:sz w:val="26"/>
      <w:szCs w:val="26"/>
      <w:lang w:val="en-GB" w:eastAsia="en-US"/>
    </w:rPr>
  </w:style>
  <w:style w:type="character" w:customStyle="1" w:styleId="Kop4Char">
    <w:name w:val="Kop 4 Char"/>
    <w:basedOn w:val="Standaardalinea-lettertype"/>
    <w:link w:val="Kop4"/>
    <w:uiPriority w:val="99"/>
    <w:semiHidden/>
    <w:locked/>
    <w:rsid w:val="00886F21"/>
    <w:rPr>
      <w:rFonts w:ascii="Calibri" w:hAnsi="Calibri" w:cs="Times New Roman"/>
      <w:b/>
      <w:bCs/>
      <w:sz w:val="28"/>
      <w:szCs w:val="28"/>
      <w:lang w:val="en-GB" w:eastAsia="en-US"/>
    </w:rPr>
  </w:style>
  <w:style w:type="character" w:customStyle="1" w:styleId="Kop5Char">
    <w:name w:val="Kop 5 Char"/>
    <w:basedOn w:val="Standaardalinea-lettertype"/>
    <w:link w:val="Kop5"/>
    <w:uiPriority w:val="99"/>
    <w:semiHidden/>
    <w:locked/>
    <w:rsid w:val="00886F21"/>
    <w:rPr>
      <w:rFonts w:ascii="Calibri" w:hAnsi="Calibri" w:cs="Times New Roman"/>
      <w:b/>
      <w:bCs/>
      <w:i/>
      <w:iCs/>
      <w:sz w:val="26"/>
      <w:szCs w:val="26"/>
      <w:lang w:val="en-GB" w:eastAsia="en-US"/>
    </w:rPr>
  </w:style>
  <w:style w:type="character" w:customStyle="1" w:styleId="Kop6Char">
    <w:name w:val="Kop 6 Char"/>
    <w:basedOn w:val="Standaardalinea-lettertype"/>
    <w:link w:val="Kop6"/>
    <w:uiPriority w:val="99"/>
    <w:semiHidden/>
    <w:locked/>
    <w:rsid w:val="00886F21"/>
    <w:rPr>
      <w:rFonts w:ascii="Calibri" w:hAnsi="Calibri" w:cs="Times New Roman"/>
      <w:b/>
      <w:bCs/>
      <w:lang w:val="en-GB" w:eastAsia="en-US"/>
    </w:rPr>
  </w:style>
  <w:style w:type="character" w:customStyle="1" w:styleId="Kop7Char">
    <w:name w:val="Kop 7 Char"/>
    <w:basedOn w:val="Standaardalinea-lettertype"/>
    <w:link w:val="Kop7"/>
    <w:uiPriority w:val="99"/>
    <w:semiHidden/>
    <w:locked/>
    <w:rsid w:val="00886F21"/>
    <w:rPr>
      <w:rFonts w:ascii="Calibri" w:hAnsi="Calibri" w:cs="Times New Roman"/>
      <w:sz w:val="24"/>
      <w:szCs w:val="24"/>
      <w:lang w:val="en-GB" w:eastAsia="en-US"/>
    </w:rPr>
  </w:style>
  <w:style w:type="character" w:customStyle="1" w:styleId="Kop8Char">
    <w:name w:val="Kop 8 Char"/>
    <w:basedOn w:val="Standaardalinea-lettertype"/>
    <w:link w:val="Kop8"/>
    <w:uiPriority w:val="99"/>
    <w:semiHidden/>
    <w:locked/>
    <w:rsid w:val="00886F21"/>
    <w:rPr>
      <w:rFonts w:ascii="Calibri" w:hAnsi="Calibri" w:cs="Times New Roman"/>
      <w:i/>
      <w:iCs/>
      <w:sz w:val="24"/>
      <w:szCs w:val="24"/>
      <w:lang w:val="en-GB" w:eastAsia="en-US"/>
    </w:rPr>
  </w:style>
  <w:style w:type="character" w:customStyle="1" w:styleId="Kop9Char">
    <w:name w:val="Kop 9 Char"/>
    <w:basedOn w:val="Standaardalinea-lettertype"/>
    <w:link w:val="Kop9"/>
    <w:uiPriority w:val="99"/>
    <w:semiHidden/>
    <w:locked/>
    <w:rsid w:val="00886F21"/>
    <w:rPr>
      <w:rFonts w:ascii="Cambria" w:hAnsi="Cambria" w:cs="Times New Roman"/>
      <w:lang w:val="en-GB" w:eastAsia="en-US"/>
    </w:rPr>
  </w:style>
  <w:style w:type="paragraph" w:customStyle="1" w:styleId="Body">
    <w:name w:val="Body"/>
    <w:basedOn w:val="Standaard"/>
    <w:uiPriority w:val="99"/>
    <w:rsid w:val="0002265E"/>
    <w:pPr>
      <w:spacing w:after="210"/>
    </w:pPr>
  </w:style>
  <w:style w:type="paragraph" w:customStyle="1" w:styleId="Body1">
    <w:name w:val="Body 1"/>
    <w:basedOn w:val="Body"/>
    <w:uiPriority w:val="99"/>
    <w:rsid w:val="0002265E"/>
  </w:style>
  <w:style w:type="paragraph" w:customStyle="1" w:styleId="Body2">
    <w:name w:val="Body 2"/>
    <w:basedOn w:val="Body1"/>
    <w:uiPriority w:val="99"/>
    <w:rsid w:val="0002265E"/>
    <w:pPr>
      <w:ind w:left="709"/>
    </w:pPr>
  </w:style>
  <w:style w:type="paragraph" w:customStyle="1" w:styleId="Body3">
    <w:name w:val="Body 3"/>
    <w:basedOn w:val="Body2"/>
    <w:uiPriority w:val="99"/>
    <w:rsid w:val="0002265E"/>
    <w:pPr>
      <w:ind w:left="1418"/>
    </w:pPr>
  </w:style>
  <w:style w:type="paragraph" w:customStyle="1" w:styleId="Body4">
    <w:name w:val="Body 4"/>
    <w:basedOn w:val="Body3"/>
    <w:uiPriority w:val="99"/>
    <w:rsid w:val="0002265E"/>
    <w:pPr>
      <w:ind w:left="2126"/>
    </w:pPr>
  </w:style>
  <w:style w:type="paragraph" w:customStyle="1" w:styleId="Body5">
    <w:name w:val="Body 5"/>
    <w:basedOn w:val="Body4"/>
    <w:uiPriority w:val="99"/>
    <w:rsid w:val="0002265E"/>
    <w:pPr>
      <w:ind w:left="2835"/>
    </w:pPr>
  </w:style>
  <w:style w:type="character" w:customStyle="1" w:styleId="BoldText">
    <w:name w:val="BoldText"/>
    <w:basedOn w:val="Standaardalinea-lettertype"/>
    <w:uiPriority w:val="99"/>
    <w:rsid w:val="0002265E"/>
    <w:rPr>
      <w:rFonts w:cs="Times New Roman"/>
      <w:b/>
    </w:rPr>
  </w:style>
  <w:style w:type="paragraph" w:styleId="Voettekst">
    <w:name w:val="footer"/>
    <w:basedOn w:val="Standaard"/>
    <w:link w:val="VoettekstChar"/>
    <w:uiPriority w:val="99"/>
    <w:rsid w:val="0002265E"/>
    <w:pPr>
      <w:tabs>
        <w:tab w:val="center" w:pos="4536"/>
        <w:tab w:val="right" w:pos="9072"/>
      </w:tabs>
      <w:jc w:val="left"/>
    </w:pPr>
    <w:rPr>
      <w:sz w:val="16"/>
    </w:rPr>
  </w:style>
  <w:style w:type="character" w:customStyle="1" w:styleId="VoettekstChar">
    <w:name w:val="Voettekst Char"/>
    <w:basedOn w:val="Standaardalinea-lettertype"/>
    <w:link w:val="Voettekst"/>
    <w:uiPriority w:val="99"/>
    <w:semiHidden/>
    <w:locked/>
    <w:rsid w:val="00886F21"/>
    <w:rPr>
      <w:rFonts w:ascii="Arial" w:hAnsi="Arial" w:cs="Times New Roman"/>
      <w:sz w:val="24"/>
      <w:szCs w:val="24"/>
      <w:lang w:val="en-GB" w:eastAsia="en-US"/>
    </w:rPr>
  </w:style>
  <w:style w:type="character" w:styleId="Voetnootmarkering">
    <w:name w:val="footnote reference"/>
    <w:basedOn w:val="Standaardalinea-lettertype"/>
    <w:uiPriority w:val="99"/>
    <w:rsid w:val="0002265E"/>
    <w:rPr>
      <w:rFonts w:cs="Times New Roman"/>
      <w:vertAlign w:val="superscript"/>
    </w:rPr>
  </w:style>
  <w:style w:type="paragraph" w:styleId="Voetnoottekst">
    <w:name w:val="footnote text"/>
    <w:basedOn w:val="Standaard"/>
    <w:link w:val="VoetnoottekstChar"/>
    <w:uiPriority w:val="99"/>
    <w:rsid w:val="00003EC2"/>
    <w:pPr>
      <w:tabs>
        <w:tab w:val="left" w:pos="720"/>
      </w:tabs>
      <w:ind w:left="720" w:hanging="720"/>
    </w:pPr>
    <w:rPr>
      <w:sz w:val="16"/>
    </w:rPr>
  </w:style>
  <w:style w:type="character" w:customStyle="1" w:styleId="VoetnoottekstChar">
    <w:name w:val="Voetnoottekst Char"/>
    <w:basedOn w:val="Standaardalinea-lettertype"/>
    <w:link w:val="Voetnoottekst"/>
    <w:uiPriority w:val="99"/>
    <w:semiHidden/>
    <w:locked/>
    <w:rsid w:val="00886F21"/>
    <w:rPr>
      <w:rFonts w:ascii="Arial" w:hAnsi="Arial" w:cs="Times New Roman"/>
      <w:sz w:val="20"/>
      <w:szCs w:val="20"/>
      <w:lang w:val="en-GB" w:eastAsia="en-US"/>
    </w:rPr>
  </w:style>
  <w:style w:type="paragraph" w:styleId="Koptekst">
    <w:name w:val="header"/>
    <w:basedOn w:val="Standaard"/>
    <w:link w:val="KoptekstChar"/>
    <w:uiPriority w:val="99"/>
    <w:rsid w:val="0002265E"/>
    <w:pPr>
      <w:tabs>
        <w:tab w:val="center" w:pos="4536"/>
        <w:tab w:val="right" w:pos="9072"/>
      </w:tabs>
    </w:pPr>
  </w:style>
  <w:style w:type="character" w:customStyle="1" w:styleId="KoptekstChar">
    <w:name w:val="Koptekst Char"/>
    <w:basedOn w:val="Standaardalinea-lettertype"/>
    <w:link w:val="Koptekst"/>
    <w:uiPriority w:val="99"/>
    <w:semiHidden/>
    <w:locked/>
    <w:rsid w:val="00886F21"/>
    <w:rPr>
      <w:rFonts w:ascii="Arial" w:hAnsi="Arial" w:cs="Times New Roman"/>
      <w:sz w:val="24"/>
      <w:szCs w:val="24"/>
      <w:lang w:val="en-GB" w:eastAsia="en-US"/>
    </w:rPr>
  </w:style>
  <w:style w:type="character" w:customStyle="1" w:styleId="Heading1Text">
    <w:name w:val="Heading 1 Text"/>
    <w:basedOn w:val="BoldText"/>
    <w:uiPriority w:val="99"/>
    <w:rsid w:val="0002265E"/>
    <w:rPr>
      <w:rFonts w:cs="Times New Roman"/>
      <w:b/>
      <w:smallCaps/>
    </w:rPr>
  </w:style>
  <w:style w:type="character" w:customStyle="1" w:styleId="Heading2Text">
    <w:name w:val="Heading 2 Text"/>
    <w:basedOn w:val="BoldText"/>
    <w:uiPriority w:val="99"/>
    <w:rsid w:val="0002265E"/>
    <w:rPr>
      <w:rFonts w:cs="Times New Roman"/>
      <w:b/>
    </w:rPr>
  </w:style>
  <w:style w:type="character" w:customStyle="1" w:styleId="Heading3Text">
    <w:name w:val="Heading 3 Text"/>
    <w:basedOn w:val="Heading2Text"/>
    <w:uiPriority w:val="99"/>
    <w:rsid w:val="0002265E"/>
    <w:rPr>
      <w:rFonts w:cs="Times New Roman"/>
      <w:b/>
    </w:rPr>
  </w:style>
  <w:style w:type="character" w:customStyle="1" w:styleId="Heading4Text">
    <w:name w:val="Heading 4 Text"/>
    <w:basedOn w:val="Heading3Text"/>
    <w:uiPriority w:val="99"/>
    <w:rsid w:val="0002265E"/>
    <w:rPr>
      <w:rFonts w:cs="Times New Roman"/>
      <w:b/>
    </w:rPr>
  </w:style>
  <w:style w:type="paragraph" w:customStyle="1" w:styleId="Level1">
    <w:name w:val="Level 1"/>
    <w:basedOn w:val="Body1"/>
    <w:next w:val="Body2"/>
    <w:uiPriority w:val="99"/>
    <w:rsid w:val="0002265E"/>
    <w:pPr>
      <w:numPr>
        <w:numId w:val="41"/>
      </w:numPr>
      <w:outlineLvl w:val="0"/>
    </w:pPr>
  </w:style>
  <w:style w:type="paragraph" w:customStyle="1" w:styleId="Level2">
    <w:name w:val="Level 2"/>
    <w:basedOn w:val="Body2"/>
    <w:next w:val="Body2"/>
    <w:uiPriority w:val="99"/>
    <w:rsid w:val="0002265E"/>
    <w:pPr>
      <w:numPr>
        <w:ilvl w:val="1"/>
        <w:numId w:val="41"/>
      </w:numPr>
      <w:outlineLvl w:val="1"/>
    </w:pPr>
  </w:style>
  <w:style w:type="paragraph" w:customStyle="1" w:styleId="Level3">
    <w:name w:val="Level 3"/>
    <w:basedOn w:val="Body3"/>
    <w:next w:val="Body3"/>
    <w:uiPriority w:val="99"/>
    <w:rsid w:val="0002265E"/>
    <w:pPr>
      <w:numPr>
        <w:ilvl w:val="2"/>
        <w:numId w:val="41"/>
      </w:numPr>
      <w:outlineLvl w:val="2"/>
    </w:pPr>
  </w:style>
  <w:style w:type="paragraph" w:customStyle="1" w:styleId="Level4">
    <w:name w:val="Level 4"/>
    <w:basedOn w:val="Body4"/>
    <w:next w:val="Body4"/>
    <w:uiPriority w:val="99"/>
    <w:rsid w:val="0002265E"/>
    <w:pPr>
      <w:numPr>
        <w:ilvl w:val="3"/>
        <w:numId w:val="41"/>
      </w:numPr>
      <w:outlineLvl w:val="3"/>
    </w:pPr>
  </w:style>
  <w:style w:type="paragraph" w:customStyle="1" w:styleId="Level5">
    <w:name w:val="Level 5"/>
    <w:basedOn w:val="Body5"/>
    <w:next w:val="Body5"/>
    <w:uiPriority w:val="99"/>
    <w:rsid w:val="0002265E"/>
    <w:pPr>
      <w:numPr>
        <w:ilvl w:val="4"/>
        <w:numId w:val="41"/>
      </w:numPr>
      <w:outlineLvl w:val="4"/>
    </w:pPr>
  </w:style>
  <w:style w:type="paragraph" w:styleId="Inhopg1">
    <w:name w:val="toc 1"/>
    <w:basedOn w:val="Body"/>
    <w:next w:val="Standaard"/>
    <w:autoRedefine/>
    <w:uiPriority w:val="99"/>
    <w:semiHidden/>
    <w:rsid w:val="0002265E"/>
    <w:pPr>
      <w:tabs>
        <w:tab w:val="left" w:pos="709"/>
        <w:tab w:val="right" w:pos="9072"/>
      </w:tabs>
      <w:spacing w:after="120"/>
      <w:ind w:left="709" w:right="709" w:hanging="709"/>
    </w:pPr>
  </w:style>
  <w:style w:type="paragraph" w:styleId="Inhopg2">
    <w:name w:val="toc 2"/>
    <w:basedOn w:val="Inhopg1"/>
    <w:autoRedefine/>
    <w:uiPriority w:val="99"/>
    <w:semiHidden/>
    <w:rsid w:val="0002265E"/>
    <w:pPr>
      <w:tabs>
        <w:tab w:val="clear" w:pos="709"/>
        <w:tab w:val="left" w:pos="706"/>
      </w:tabs>
      <w:ind w:left="1418"/>
    </w:pPr>
  </w:style>
  <w:style w:type="paragraph" w:styleId="Inhopg3">
    <w:name w:val="toc 3"/>
    <w:basedOn w:val="Inhopg2"/>
    <w:next w:val="Standaard"/>
    <w:autoRedefine/>
    <w:uiPriority w:val="99"/>
    <w:semiHidden/>
    <w:rsid w:val="0002265E"/>
    <w:pPr>
      <w:tabs>
        <w:tab w:val="left" w:pos="1418"/>
      </w:tabs>
      <w:ind w:left="2127"/>
    </w:pPr>
  </w:style>
  <w:style w:type="paragraph" w:styleId="Inhopg4">
    <w:name w:val="toc 4"/>
    <w:basedOn w:val="Standaard"/>
    <w:next w:val="Standaard"/>
    <w:autoRedefine/>
    <w:uiPriority w:val="99"/>
    <w:semiHidden/>
    <w:rsid w:val="0002265E"/>
    <w:pPr>
      <w:ind w:left="2126" w:right="709"/>
    </w:pPr>
  </w:style>
  <w:style w:type="paragraph" w:styleId="Bloktekst">
    <w:name w:val="Block Text"/>
    <w:basedOn w:val="Standaard"/>
    <w:uiPriority w:val="99"/>
    <w:semiHidden/>
    <w:rsid w:val="0002265E"/>
    <w:pPr>
      <w:spacing w:after="120"/>
      <w:ind w:left="1440" w:right="1440"/>
    </w:pPr>
  </w:style>
  <w:style w:type="paragraph" w:styleId="Plattetekst">
    <w:name w:val="Body Text"/>
    <w:basedOn w:val="Standaard"/>
    <w:link w:val="PlattetekstChar"/>
    <w:uiPriority w:val="99"/>
    <w:semiHidden/>
    <w:rsid w:val="0002265E"/>
    <w:pPr>
      <w:spacing w:after="120"/>
    </w:pPr>
  </w:style>
  <w:style w:type="character" w:customStyle="1" w:styleId="PlattetekstChar">
    <w:name w:val="Platte tekst Char"/>
    <w:basedOn w:val="Standaardalinea-lettertype"/>
    <w:link w:val="Plattetekst"/>
    <w:uiPriority w:val="99"/>
    <w:semiHidden/>
    <w:locked/>
    <w:rsid w:val="00886F21"/>
    <w:rPr>
      <w:rFonts w:ascii="Arial" w:hAnsi="Arial" w:cs="Times New Roman"/>
      <w:sz w:val="24"/>
      <w:szCs w:val="24"/>
      <w:lang w:val="en-GB" w:eastAsia="en-US"/>
    </w:rPr>
  </w:style>
  <w:style w:type="character" w:customStyle="1" w:styleId="BoldItalicText">
    <w:name w:val="BoldItalicText"/>
    <w:basedOn w:val="Standaardalinea-lettertype"/>
    <w:uiPriority w:val="99"/>
    <w:semiHidden/>
    <w:rsid w:val="0002265E"/>
    <w:rPr>
      <w:rFonts w:cs="Times New Roman"/>
      <w:b/>
      <w:i/>
    </w:rPr>
  </w:style>
  <w:style w:type="character" w:customStyle="1" w:styleId="ItalicText">
    <w:name w:val="ItalicText"/>
    <w:basedOn w:val="Standaardalinea-lettertype"/>
    <w:uiPriority w:val="99"/>
    <w:rsid w:val="0002265E"/>
    <w:rPr>
      <w:rFonts w:cs="Times New Roman"/>
      <w:i/>
    </w:rPr>
  </w:style>
  <w:style w:type="character" w:customStyle="1" w:styleId="BoldUnderlinedText">
    <w:name w:val="BoldUnderlinedText"/>
    <w:basedOn w:val="Standaardalinea-lettertype"/>
    <w:uiPriority w:val="99"/>
    <w:semiHidden/>
    <w:rsid w:val="0002265E"/>
    <w:rPr>
      <w:rFonts w:cs="Times New Roman"/>
      <w:b/>
      <w:u w:val="single"/>
    </w:rPr>
  </w:style>
  <w:style w:type="character" w:customStyle="1" w:styleId="UnderlinedText">
    <w:name w:val="UnderlinedText"/>
    <w:basedOn w:val="Standaardalinea-lettertype"/>
    <w:uiPriority w:val="99"/>
    <w:rsid w:val="0002265E"/>
    <w:rPr>
      <w:rFonts w:cs="Times New Roman"/>
      <w:u w:val="single"/>
    </w:rPr>
  </w:style>
  <w:style w:type="paragraph" w:styleId="Plattetekst2">
    <w:name w:val="Body Text 2"/>
    <w:basedOn w:val="Standaard"/>
    <w:link w:val="Plattetekst2Char"/>
    <w:uiPriority w:val="99"/>
    <w:semiHidden/>
    <w:rsid w:val="0002265E"/>
    <w:pPr>
      <w:spacing w:after="120" w:line="480" w:lineRule="auto"/>
    </w:pPr>
  </w:style>
  <w:style w:type="character" w:customStyle="1" w:styleId="Plattetekst2Char">
    <w:name w:val="Platte tekst 2 Char"/>
    <w:basedOn w:val="Standaardalinea-lettertype"/>
    <w:link w:val="Plattetekst2"/>
    <w:uiPriority w:val="99"/>
    <w:semiHidden/>
    <w:locked/>
    <w:rsid w:val="00886F21"/>
    <w:rPr>
      <w:rFonts w:ascii="Arial" w:hAnsi="Arial" w:cs="Times New Roman"/>
      <w:sz w:val="24"/>
      <w:szCs w:val="24"/>
      <w:lang w:val="en-GB" w:eastAsia="en-US"/>
    </w:rPr>
  </w:style>
  <w:style w:type="paragraph" w:styleId="Plattetekst3">
    <w:name w:val="Body Text 3"/>
    <w:basedOn w:val="Standaard"/>
    <w:link w:val="Plattetekst3Char"/>
    <w:uiPriority w:val="99"/>
    <w:semiHidden/>
    <w:rsid w:val="0002265E"/>
    <w:pPr>
      <w:spacing w:after="120"/>
    </w:pPr>
    <w:rPr>
      <w:sz w:val="16"/>
    </w:rPr>
  </w:style>
  <w:style w:type="character" w:customStyle="1" w:styleId="Plattetekst3Char">
    <w:name w:val="Platte tekst 3 Char"/>
    <w:basedOn w:val="Standaardalinea-lettertype"/>
    <w:link w:val="Plattetekst3"/>
    <w:uiPriority w:val="99"/>
    <w:semiHidden/>
    <w:locked/>
    <w:rsid w:val="00886F21"/>
    <w:rPr>
      <w:rFonts w:ascii="Arial" w:hAnsi="Arial" w:cs="Times New Roman"/>
      <w:sz w:val="16"/>
      <w:szCs w:val="16"/>
      <w:lang w:val="en-GB" w:eastAsia="en-US"/>
    </w:rPr>
  </w:style>
  <w:style w:type="paragraph" w:styleId="Platteteksteersteinspringing">
    <w:name w:val="Body Text First Indent"/>
    <w:basedOn w:val="Plattetekst"/>
    <w:link w:val="PlatteteksteersteinspringingChar"/>
    <w:uiPriority w:val="99"/>
    <w:semiHidden/>
    <w:rsid w:val="0002265E"/>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886F21"/>
    <w:rPr>
      <w:rFonts w:ascii="Arial" w:hAnsi="Arial" w:cs="Times New Roman"/>
      <w:sz w:val="24"/>
      <w:szCs w:val="24"/>
      <w:lang w:val="en-GB" w:eastAsia="en-US"/>
    </w:rPr>
  </w:style>
  <w:style w:type="paragraph" w:styleId="Plattetekstinspringen">
    <w:name w:val="Body Text Indent"/>
    <w:basedOn w:val="Standaard"/>
    <w:link w:val="PlattetekstinspringenChar"/>
    <w:uiPriority w:val="99"/>
    <w:semiHidden/>
    <w:rsid w:val="0002265E"/>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886F21"/>
    <w:rPr>
      <w:rFonts w:ascii="Arial" w:hAnsi="Arial" w:cs="Times New Roman"/>
      <w:sz w:val="24"/>
      <w:szCs w:val="24"/>
      <w:lang w:val="en-GB" w:eastAsia="en-US"/>
    </w:rPr>
  </w:style>
  <w:style w:type="paragraph" w:styleId="Platteteksteersteinspringing2">
    <w:name w:val="Body Text First Indent 2"/>
    <w:basedOn w:val="Plattetekstinspringen"/>
    <w:link w:val="Platteteksteersteinspringing2Char"/>
    <w:uiPriority w:val="99"/>
    <w:semiHidden/>
    <w:rsid w:val="0002265E"/>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886F21"/>
    <w:rPr>
      <w:rFonts w:ascii="Arial" w:hAnsi="Arial" w:cs="Times New Roman"/>
      <w:sz w:val="24"/>
      <w:szCs w:val="24"/>
      <w:lang w:val="en-GB" w:eastAsia="en-US"/>
    </w:rPr>
  </w:style>
  <w:style w:type="paragraph" w:styleId="Plattetekstinspringen2">
    <w:name w:val="Body Text Indent 2"/>
    <w:basedOn w:val="Standaard"/>
    <w:link w:val="Plattetekstinspringen2Char"/>
    <w:uiPriority w:val="99"/>
    <w:semiHidden/>
    <w:rsid w:val="0002265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886F21"/>
    <w:rPr>
      <w:rFonts w:ascii="Arial" w:hAnsi="Arial" w:cs="Times New Roman"/>
      <w:sz w:val="24"/>
      <w:szCs w:val="24"/>
      <w:lang w:val="en-GB" w:eastAsia="en-US"/>
    </w:rPr>
  </w:style>
  <w:style w:type="paragraph" w:styleId="Plattetekstinspringen3">
    <w:name w:val="Body Text Indent 3"/>
    <w:basedOn w:val="Standaard"/>
    <w:link w:val="Plattetekstinspringen3Char"/>
    <w:uiPriority w:val="99"/>
    <w:semiHidden/>
    <w:rsid w:val="0002265E"/>
    <w:pPr>
      <w:spacing w:after="120"/>
      <w:ind w:left="283"/>
    </w:pPr>
    <w:rPr>
      <w:sz w:val="16"/>
    </w:rPr>
  </w:style>
  <w:style w:type="character" w:customStyle="1" w:styleId="Plattetekstinspringen3Char">
    <w:name w:val="Platte tekst inspringen 3 Char"/>
    <w:basedOn w:val="Standaardalinea-lettertype"/>
    <w:link w:val="Plattetekstinspringen3"/>
    <w:uiPriority w:val="99"/>
    <w:semiHidden/>
    <w:locked/>
    <w:rsid w:val="00886F21"/>
    <w:rPr>
      <w:rFonts w:ascii="Arial" w:hAnsi="Arial" w:cs="Times New Roman"/>
      <w:sz w:val="16"/>
      <w:szCs w:val="16"/>
      <w:lang w:val="en-GB" w:eastAsia="en-US"/>
    </w:rPr>
  </w:style>
  <w:style w:type="paragraph" w:styleId="Bijschrift">
    <w:name w:val="caption"/>
    <w:basedOn w:val="Standaard"/>
    <w:next w:val="Standaard"/>
    <w:uiPriority w:val="99"/>
    <w:qFormat/>
    <w:rsid w:val="0002265E"/>
    <w:pPr>
      <w:spacing w:before="120" w:after="120"/>
    </w:pPr>
    <w:rPr>
      <w:b/>
    </w:rPr>
  </w:style>
  <w:style w:type="paragraph" w:styleId="Afsluiting">
    <w:name w:val="Closing"/>
    <w:basedOn w:val="Standaard"/>
    <w:link w:val="AfsluitingChar"/>
    <w:uiPriority w:val="99"/>
    <w:semiHidden/>
    <w:rsid w:val="0002265E"/>
    <w:pPr>
      <w:ind w:left="4252"/>
    </w:pPr>
  </w:style>
  <w:style w:type="character" w:customStyle="1" w:styleId="AfsluitingChar">
    <w:name w:val="Afsluiting Char"/>
    <w:basedOn w:val="Standaardalinea-lettertype"/>
    <w:link w:val="Afsluiting"/>
    <w:uiPriority w:val="99"/>
    <w:semiHidden/>
    <w:locked/>
    <w:rsid w:val="00886F21"/>
    <w:rPr>
      <w:rFonts w:ascii="Arial" w:hAnsi="Arial" w:cs="Times New Roman"/>
      <w:sz w:val="24"/>
      <w:szCs w:val="24"/>
      <w:lang w:val="en-GB" w:eastAsia="en-US"/>
    </w:rPr>
  </w:style>
  <w:style w:type="character" w:styleId="Verwijzingopmerking">
    <w:name w:val="annotation reference"/>
    <w:basedOn w:val="Standaardalinea-lettertype"/>
    <w:uiPriority w:val="99"/>
    <w:semiHidden/>
    <w:rsid w:val="0002265E"/>
    <w:rPr>
      <w:rFonts w:cs="Times New Roman"/>
      <w:sz w:val="16"/>
    </w:rPr>
  </w:style>
  <w:style w:type="paragraph" w:styleId="Tekstopmerking">
    <w:name w:val="annotation text"/>
    <w:basedOn w:val="Standaard"/>
    <w:link w:val="TekstopmerkingChar"/>
    <w:uiPriority w:val="99"/>
    <w:semiHidden/>
    <w:rsid w:val="0002265E"/>
    <w:rPr>
      <w:sz w:val="20"/>
    </w:rPr>
  </w:style>
  <w:style w:type="character" w:customStyle="1" w:styleId="TekstopmerkingChar">
    <w:name w:val="Tekst opmerking Char"/>
    <w:basedOn w:val="Standaardalinea-lettertype"/>
    <w:link w:val="Tekstopmerking"/>
    <w:uiPriority w:val="99"/>
    <w:semiHidden/>
    <w:locked/>
    <w:rsid w:val="00886F21"/>
    <w:rPr>
      <w:rFonts w:ascii="Arial" w:hAnsi="Arial" w:cs="Times New Roman"/>
      <w:sz w:val="20"/>
      <w:szCs w:val="20"/>
      <w:lang w:val="en-GB" w:eastAsia="en-US"/>
    </w:rPr>
  </w:style>
  <w:style w:type="paragraph" w:styleId="Datum">
    <w:name w:val="Date"/>
    <w:basedOn w:val="Standaard"/>
    <w:next w:val="Standaard"/>
    <w:link w:val="DatumChar"/>
    <w:uiPriority w:val="99"/>
    <w:semiHidden/>
    <w:rsid w:val="0002265E"/>
  </w:style>
  <w:style w:type="character" w:customStyle="1" w:styleId="DatumChar">
    <w:name w:val="Datum Char"/>
    <w:basedOn w:val="Standaardalinea-lettertype"/>
    <w:link w:val="Datum"/>
    <w:uiPriority w:val="99"/>
    <w:semiHidden/>
    <w:locked/>
    <w:rsid w:val="00886F21"/>
    <w:rPr>
      <w:rFonts w:ascii="Arial" w:hAnsi="Arial" w:cs="Times New Roman"/>
      <w:sz w:val="24"/>
      <w:szCs w:val="24"/>
      <w:lang w:val="en-GB" w:eastAsia="en-US"/>
    </w:rPr>
  </w:style>
  <w:style w:type="paragraph" w:styleId="Documentstructuur">
    <w:name w:val="Document Map"/>
    <w:basedOn w:val="Standaard"/>
    <w:link w:val="DocumentstructuurChar"/>
    <w:uiPriority w:val="99"/>
    <w:semiHidden/>
    <w:rsid w:val="0002265E"/>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9"/>
    <w:semiHidden/>
    <w:locked/>
    <w:rsid w:val="00886F21"/>
    <w:rPr>
      <w:rFonts w:cs="Times New Roman"/>
      <w:sz w:val="2"/>
      <w:lang w:val="en-GB" w:eastAsia="en-US"/>
    </w:rPr>
  </w:style>
  <w:style w:type="character" w:styleId="Nadruk">
    <w:name w:val="Emphasis"/>
    <w:basedOn w:val="Standaardalinea-lettertype"/>
    <w:uiPriority w:val="99"/>
    <w:qFormat/>
    <w:rsid w:val="0002265E"/>
    <w:rPr>
      <w:rFonts w:cs="Times New Roman"/>
      <w:i/>
    </w:rPr>
  </w:style>
  <w:style w:type="character" w:styleId="Eindnootmarkering">
    <w:name w:val="endnote reference"/>
    <w:basedOn w:val="Standaardalinea-lettertype"/>
    <w:uiPriority w:val="99"/>
    <w:semiHidden/>
    <w:rsid w:val="0002265E"/>
    <w:rPr>
      <w:rFonts w:cs="Times New Roman"/>
      <w:vertAlign w:val="superscript"/>
    </w:rPr>
  </w:style>
  <w:style w:type="paragraph" w:styleId="Eindnoottekst">
    <w:name w:val="endnote text"/>
    <w:basedOn w:val="Standaard"/>
    <w:link w:val="EindnoottekstChar"/>
    <w:uiPriority w:val="99"/>
    <w:semiHidden/>
    <w:rsid w:val="0002265E"/>
    <w:rPr>
      <w:sz w:val="20"/>
    </w:rPr>
  </w:style>
  <w:style w:type="character" w:customStyle="1" w:styleId="EindnoottekstChar">
    <w:name w:val="Eindnoottekst Char"/>
    <w:basedOn w:val="Standaardalinea-lettertype"/>
    <w:link w:val="Eindnoottekst"/>
    <w:uiPriority w:val="99"/>
    <w:semiHidden/>
    <w:locked/>
    <w:rsid w:val="00886F21"/>
    <w:rPr>
      <w:rFonts w:ascii="Arial" w:hAnsi="Arial" w:cs="Times New Roman"/>
      <w:sz w:val="20"/>
      <w:szCs w:val="20"/>
      <w:lang w:val="en-GB" w:eastAsia="en-US"/>
    </w:rPr>
  </w:style>
  <w:style w:type="paragraph" w:styleId="Adresenvelop">
    <w:name w:val="envelope address"/>
    <w:basedOn w:val="Standaard"/>
    <w:uiPriority w:val="99"/>
    <w:semiHidden/>
    <w:rsid w:val="0002265E"/>
    <w:pPr>
      <w:framePr w:w="7920" w:h="1980" w:hRule="exact" w:hSpace="180" w:wrap="auto" w:hAnchor="page" w:xAlign="center" w:yAlign="bottom"/>
      <w:ind w:left="2880"/>
    </w:pPr>
    <w:rPr>
      <w:sz w:val="24"/>
    </w:rPr>
  </w:style>
  <w:style w:type="paragraph" w:styleId="Afzender">
    <w:name w:val="envelope return"/>
    <w:basedOn w:val="Standaard"/>
    <w:uiPriority w:val="99"/>
    <w:semiHidden/>
    <w:rsid w:val="0002265E"/>
    <w:rPr>
      <w:sz w:val="20"/>
    </w:rPr>
  </w:style>
  <w:style w:type="character" w:styleId="GevolgdeHyperlink">
    <w:name w:val="FollowedHyperlink"/>
    <w:basedOn w:val="Standaardalinea-lettertype"/>
    <w:uiPriority w:val="99"/>
    <w:rsid w:val="0002265E"/>
    <w:rPr>
      <w:rFonts w:cs="Times New Roman"/>
      <w:color w:val="800080"/>
      <w:u w:val="single"/>
    </w:rPr>
  </w:style>
  <w:style w:type="character" w:styleId="Hyperlink">
    <w:name w:val="Hyperlink"/>
    <w:basedOn w:val="Standaardalinea-lettertype"/>
    <w:uiPriority w:val="99"/>
    <w:rsid w:val="0002265E"/>
    <w:rPr>
      <w:rFonts w:cs="Times New Roman"/>
      <w:color w:val="0000FF"/>
      <w:u w:val="single"/>
    </w:rPr>
  </w:style>
  <w:style w:type="paragraph" w:styleId="Index1">
    <w:name w:val="index 1"/>
    <w:basedOn w:val="Standaard"/>
    <w:next w:val="Standaard"/>
    <w:autoRedefine/>
    <w:uiPriority w:val="99"/>
    <w:semiHidden/>
    <w:rsid w:val="0002265E"/>
    <w:pPr>
      <w:ind w:left="210" w:hanging="210"/>
    </w:pPr>
  </w:style>
  <w:style w:type="paragraph" w:styleId="Index2">
    <w:name w:val="index 2"/>
    <w:basedOn w:val="Standaard"/>
    <w:next w:val="Standaard"/>
    <w:autoRedefine/>
    <w:uiPriority w:val="99"/>
    <w:semiHidden/>
    <w:rsid w:val="0002265E"/>
    <w:pPr>
      <w:ind w:left="420" w:hanging="210"/>
    </w:pPr>
  </w:style>
  <w:style w:type="paragraph" w:styleId="Index3">
    <w:name w:val="index 3"/>
    <w:basedOn w:val="Standaard"/>
    <w:next w:val="Standaard"/>
    <w:autoRedefine/>
    <w:uiPriority w:val="99"/>
    <w:semiHidden/>
    <w:rsid w:val="0002265E"/>
    <w:pPr>
      <w:ind w:left="630" w:hanging="210"/>
    </w:pPr>
  </w:style>
  <w:style w:type="paragraph" w:styleId="Index4">
    <w:name w:val="index 4"/>
    <w:basedOn w:val="Standaard"/>
    <w:next w:val="Standaard"/>
    <w:autoRedefine/>
    <w:uiPriority w:val="99"/>
    <w:semiHidden/>
    <w:rsid w:val="0002265E"/>
    <w:pPr>
      <w:ind w:left="840" w:hanging="210"/>
    </w:pPr>
  </w:style>
  <w:style w:type="paragraph" w:styleId="Index5">
    <w:name w:val="index 5"/>
    <w:basedOn w:val="Standaard"/>
    <w:next w:val="Standaard"/>
    <w:autoRedefine/>
    <w:uiPriority w:val="99"/>
    <w:semiHidden/>
    <w:rsid w:val="0002265E"/>
    <w:pPr>
      <w:ind w:left="1050" w:hanging="210"/>
    </w:pPr>
  </w:style>
  <w:style w:type="paragraph" w:styleId="Index6">
    <w:name w:val="index 6"/>
    <w:basedOn w:val="Standaard"/>
    <w:next w:val="Standaard"/>
    <w:autoRedefine/>
    <w:uiPriority w:val="99"/>
    <w:semiHidden/>
    <w:rsid w:val="0002265E"/>
    <w:pPr>
      <w:ind w:left="1260" w:hanging="210"/>
    </w:pPr>
  </w:style>
  <w:style w:type="paragraph" w:styleId="Index7">
    <w:name w:val="index 7"/>
    <w:basedOn w:val="Standaard"/>
    <w:next w:val="Standaard"/>
    <w:autoRedefine/>
    <w:uiPriority w:val="99"/>
    <w:semiHidden/>
    <w:rsid w:val="0002265E"/>
    <w:pPr>
      <w:ind w:left="1470" w:hanging="210"/>
    </w:pPr>
  </w:style>
  <w:style w:type="paragraph" w:styleId="Index8">
    <w:name w:val="index 8"/>
    <w:basedOn w:val="Standaard"/>
    <w:next w:val="Standaard"/>
    <w:autoRedefine/>
    <w:uiPriority w:val="99"/>
    <w:semiHidden/>
    <w:rsid w:val="0002265E"/>
    <w:pPr>
      <w:ind w:left="1680" w:hanging="210"/>
    </w:pPr>
  </w:style>
  <w:style w:type="paragraph" w:styleId="Index9">
    <w:name w:val="index 9"/>
    <w:basedOn w:val="Standaard"/>
    <w:next w:val="Standaard"/>
    <w:autoRedefine/>
    <w:uiPriority w:val="99"/>
    <w:semiHidden/>
    <w:rsid w:val="0002265E"/>
    <w:pPr>
      <w:ind w:left="1890" w:hanging="210"/>
    </w:pPr>
  </w:style>
  <w:style w:type="paragraph" w:styleId="Indexkop">
    <w:name w:val="index heading"/>
    <w:basedOn w:val="Standaard"/>
    <w:next w:val="Index1"/>
    <w:uiPriority w:val="99"/>
    <w:semiHidden/>
    <w:rsid w:val="0002265E"/>
    <w:rPr>
      <w:b/>
    </w:rPr>
  </w:style>
  <w:style w:type="character" w:styleId="Regelnummer">
    <w:name w:val="line number"/>
    <w:basedOn w:val="Standaardalinea-lettertype"/>
    <w:uiPriority w:val="99"/>
    <w:semiHidden/>
    <w:rsid w:val="0002265E"/>
    <w:rPr>
      <w:rFonts w:cs="Times New Roman"/>
    </w:rPr>
  </w:style>
  <w:style w:type="paragraph" w:styleId="Macrotekst">
    <w:name w:val="macro"/>
    <w:link w:val="MacrotekstChar"/>
    <w:uiPriority w:val="99"/>
    <w:semiHidden/>
    <w:rsid w:val="0002265E"/>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0"/>
      <w:szCs w:val="20"/>
      <w:lang w:val="en-GB" w:eastAsia="zh-CN"/>
    </w:rPr>
  </w:style>
  <w:style w:type="character" w:customStyle="1" w:styleId="MacrotekstChar">
    <w:name w:val="Macrotekst Char"/>
    <w:basedOn w:val="Standaardalinea-lettertype"/>
    <w:link w:val="Macrotekst"/>
    <w:uiPriority w:val="99"/>
    <w:semiHidden/>
    <w:locked/>
    <w:rsid w:val="00886F21"/>
    <w:rPr>
      <w:rFonts w:ascii="Courier New" w:hAnsi="Courier New" w:cs="Times New Roman"/>
      <w:kern w:val="28"/>
      <w:lang w:val="en-GB" w:eastAsia="zh-CN" w:bidi="ar-SA"/>
    </w:rPr>
  </w:style>
  <w:style w:type="paragraph" w:styleId="Berichtkop">
    <w:name w:val="Message Header"/>
    <w:basedOn w:val="Standaard"/>
    <w:link w:val="BerichtkopChar"/>
    <w:uiPriority w:val="99"/>
    <w:semiHidden/>
    <w:rsid w:val="0002265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locked/>
    <w:rsid w:val="00886F21"/>
    <w:rPr>
      <w:rFonts w:ascii="Cambria" w:hAnsi="Cambria" w:cs="Times New Roman"/>
      <w:sz w:val="24"/>
      <w:szCs w:val="24"/>
      <w:shd w:val="pct20" w:color="auto" w:fill="auto"/>
      <w:lang w:val="en-GB" w:eastAsia="en-US"/>
    </w:rPr>
  </w:style>
  <w:style w:type="paragraph" w:styleId="Standaardinspringing">
    <w:name w:val="Normal Indent"/>
    <w:basedOn w:val="Standaard"/>
    <w:uiPriority w:val="99"/>
    <w:rsid w:val="0002265E"/>
    <w:pPr>
      <w:ind w:left="720"/>
    </w:pPr>
  </w:style>
  <w:style w:type="paragraph" w:styleId="Notitiekop">
    <w:name w:val="Note Heading"/>
    <w:basedOn w:val="Standaard"/>
    <w:next w:val="Standaard"/>
    <w:link w:val="NotitiekopChar"/>
    <w:uiPriority w:val="99"/>
    <w:semiHidden/>
    <w:rsid w:val="0002265E"/>
  </w:style>
  <w:style w:type="character" w:customStyle="1" w:styleId="NotitiekopChar">
    <w:name w:val="Notitiekop Char"/>
    <w:basedOn w:val="Standaardalinea-lettertype"/>
    <w:link w:val="Notitiekop"/>
    <w:uiPriority w:val="99"/>
    <w:semiHidden/>
    <w:locked/>
    <w:rsid w:val="00886F21"/>
    <w:rPr>
      <w:rFonts w:ascii="Arial" w:hAnsi="Arial" w:cs="Times New Roman"/>
      <w:sz w:val="24"/>
      <w:szCs w:val="24"/>
      <w:lang w:val="en-GB" w:eastAsia="en-US"/>
    </w:rPr>
  </w:style>
  <w:style w:type="character" w:styleId="Paginanummer">
    <w:name w:val="page number"/>
    <w:basedOn w:val="Standaardalinea-lettertype"/>
    <w:uiPriority w:val="99"/>
    <w:semiHidden/>
    <w:rsid w:val="0002265E"/>
    <w:rPr>
      <w:rFonts w:cs="Times New Roman"/>
    </w:rPr>
  </w:style>
  <w:style w:type="paragraph" w:styleId="Tekstzonderopmaak">
    <w:name w:val="Plain Text"/>
    <w:basedOn w:val="Standaard"/>
    <w:link w:val="TekstzonderopmaakChar"/>
    <w:uiPriority w:val="99"/>
    <w:semiHidden/>
    <w:rsid w:val="0002265E"/>
    <w:rPr>
      <w:rFonts w:ascii="Courier New" w:hAnsi="Courier New"/>
      <w:sz w:val="20"/>
    </w:rPr>
  </w:style>
  <w:style w:type="character" w:customStyle="1" w:styleId="TekstzonderopmaakChar">
    <w:name w:val="Tekst zonder opmaak Char"/>
    <w:basedOn w:val="Standaardalinea-lettertype"/>
    <w:link w:val="Tekstzonderopmaak"/>
    <w:uiPriority w:val="99"/>
    <w:semiHidden/>
    <w:locked/>
    <w:rsid w:val="00886F21"/>
    <w:rPr>
      <w:rFonts w:ascii="Courier New" w:hAnsi="Courier New" w:cs="Courier New"/>
      <w:sz w:val="20"/>
      <w:szCs w:val="20"/>
      <w:lang w:val="en-GB" w:eastAsia="en-US"/>
    </w:rPr>
  </w:style>
  <w:style w:type="paragraph" w:styleId="Aanhef">
    <w:name w:val="Salutation"/>
    <w:basedOn w:val="Standaard"/>
    <w:next w:val="Standaard"/>
    <w:link w:val="AanhefChar"/>
    <w:uiPriority w:val="99"/>
    <w:semiHidden/>
    <w:rsid w:val="0002265E"/>
  </w:style>
  <w:style w:type="character" w:customStyle="1" w:styleId="AanhefChar">
    <w:name w:val="Aanhef Char"/>
    <w:basedOn w:val="Standaardalinea-lettertype"/>
    <w:link w:val="Aanhef"/>
    <w:uiPriority w:val="99"/>
    <w:semiHidden/>
    <w:locked/>
    <w:rsid w:val="00886F21"/>
    <w:rPr>
      <w:rFonts w:ascii="Arial" w:hAnsi="Arial" w:cs="Times New Roman"/>
      <w:sz w:val="24"/>
      <w:szCs w:val="24"/>
      <w:lang w:val="en-GB" w:eastAsia="en-US"/>
    </w:rPr>
  </w:style>
  <w:style w:type="paragraph" w:styleId="Handtekening">
    <w:name w:val="Signature"/>
    <w:basedOn w:val="Standaard"/>
    <w:link w:val="HandtekeningChar"/>
    <w:uiPriority w:val="99"/>
    <w:semiHidden/>
    <w:rsid w:val="0002265E"/>
    <w:pPr>
      <w:ind w:left="4252"/>
    </w:pPr>
  </w:style>
  <w:style w:type="character" w:customStyle="1" w:styleId="HandtekeningChar">
    <w:name w:val="Handtekening Char"/>
    <w:basedOn w:val="Standaardalinea-lettertype"/>
    <w:link w:val="Handtekening"/>
    <w:uiPriority w:val="99"/>
    <w:semiHidden/>
    <w:locked/>
    <w:rsid w:val="00886F21"/>
    <w:rPr>
      <w:rFonts w:ascii="Arial" w:hAnsi="Arial" w:cs="Times New Roman"/>
      <w:sz w:val="24"/>
      <w:szCs w:val="24"/>
      <w:lang w:val="en-GB" w:eastAsia="en-US"/>
    </w:rPr>
  </w:style>
  <w:style w:type="character" w:styleId="Zwaar">
    <w:name w:val="Strong"/>
    <w:basedOn w:val="Standaardalinea-lettertype"/>
    <w:uiPriority w:val="99"/>
    <w:qFormat/>
    <w:rsid w:val="0002265E"/>
    <w:rPr>
      <w:rFonts w:cs="Times New Roman"/>
      <w:b/>
    </w:rPr>
  </w:style>
  <w:style w:type="paragraph" w:styleId="Bronvermelding">
    <w:name w:val="table of authorities"/>
    <w:basedOn w:val="Standaard"/>
    <w:next w:val="Standaard"/>
    <w:uiPriority w:val="99"/>
    <w:semiHidden/>
    <w:rsid w:val="0002265E"/>
    <w:pPr>
      <w:ind w:left="210" w:hanging="210"/>
    </w:pPr>
  </w:style>
  <w:style w:type="paragraph" w:styleId="Lijstmetafbeeldingen">
    <w:name w:val="table of figures"/>
    <w:basedOn w:val="Standaard"/>
    <w:next w:val="Standaard"/>
    <w:uiPriority w:val="99"/>
    <w:semiHidden/>
    <w:rsid w:val="0002265E"/>
    <w:pPr>
      <w:ind w:left="420" w:hanging="420"/>
    </w:pPr>
  </w:style>
  <w:style w:type="paragraph" w:styleId="Kopbronvermelding">
    <w:name w:val="toa heading"/>
    <w:basedOn w:val="Standaard"/>
    <w:next w:val="Standaard"/>
    <w:uiPriority w:val="99"/>
    <w:semiHidden/>
    <w:rsid w:val="0002265E"/>
    <w:pPr>
      <w:spacing w:before="120"/>
    </w:pPr>
    <w:rPr>
      <w:b/>
      <w:sz w:val="24"/>
    </w:rPr>
  </w:style>
  <w:style w:type="paragraph" w:styleId="Inhopg5">
    <w:name w:val="toc 5"/>
    <w:basedOn w:val="Standaard"/>
    <w:next w:val="Standaard"/>
    <w:autoRedefine/>
    <w:uiPriority w:val="99"/>
    <w:semiHidden/>
    <w:rsid w:val="0002265E"/>
    <w:pPr>
      <w:ind w:left="840"/>
    </w:pPr>
  </w:style>
  <w:style w:type="paragraph" w:styleId="Inhopg6">
    <w:name w:val="toc 6"/>
    <w:basedOn w:val="Standaard"/>
    <w:next w:val="Standaard"/>
    <w:autoRedefine/>
    <w:uiPriority w:val="99"/>
    <w:semiHidden/>
    <w:rsid w:val="0002265E"/>
    <w:pPr>
      <w:ind w:left="1050"/>
    </w:pPr>
  </w:style>
  <w:style w:type="paragraph" w:styleId="Inhopg7">
    <w:name w:val="toc 7"/>
    <w:basedOn w:val="Standaard"/>
    <w:next w:val="Standaard"/>
    <w:autoRedefine/>
    <w:uiPriority w:val="99"/>
    <w:semiHidden/>
    <w:rsid w:val="0002265E"/>
    <w:pPr>
      <w:ind w:left="1260"/>
    </w:pPr>
  </w:style>
  <w:style w:type="paragraph" w:styleId="Inhopg8">
    <w:name w:val="toc 8"/>
    <w:basedOn w:val="Standaard"/>
    <w:next w:val="Standaard"/>
    <w:autoRedefine/>
    <w:uiPriority w:val="99"/>
    <w:semiHidden/>
    <w:rsid w:val="0002265E"/>
    <w:pPr>
      <w:ind w:left="1470"/>
    </w:pPr>
  </w:style>
  <w:style w:type="paragraph" w:styleId="Inhopg9">
    <w:name w:val="toc 9"/>
    <w:basedOn w:val="Standaard"/>
    <w:next w:val="Standaard"/>
    <w:autoRedefine/>
    <w:uiPriority w:val="99"/>
    <w:semiHidden/>
    <w:rsid w:val="0002265E"/>
    <w:pPr>
      <w:ind w:left="1680"/>
    </w:pPr>
  </w:style>
  <w:style w:type="paragraph" w:customStyle="1" w:styleId="Centred">
    <w:name w:val="Centred"/>
    <w:basedOn w:val="Body"/>
    <w:next w:val="Body1"/>
    <w:uiPriority w:val="99"/>
    <w:rsid w:val="0002265E"/>
    <w:pPr>
      <w:keepNext/>
      <w:jc w:val="center"/>
    </w:pPr>
  </w:style>
  <w:style w:type="paragraph" w:customStyle="1" w:styleId="Parties">
    <w:name w:val="Parties"/>
    <w:basedOn w:val="Body"/>
    <w:next w:val="Body2"/>
    <w:uiPriority w:val="99"/>
    <w:rsid w:val="0002265E"/>
    <w:pPr>
      <w:numPr>
        <w:numId w:val="45"/>
      </w:numPr>
    </w:pPr>
  </w:style>
  <w:style w:type="paragraph" w:customStyle="1" w:styleId="Recitals">
    <w:name w:val="Recitals"/>
    <w:basedOn w:val="Body"/>
    <w:next w:val="Body2"/>
    <w:uiPriority w:val="99"/>
    <w:rsid w:val="0002265E"/>
    <w:pPr>
      <w:numPr>
        <w:numId w:val="46"/>
      </w:numPr>
    </w:pPr>
  </w:style>
  <w:style w:type="paragraph" w:styleId="Ballontekst">
    <w:name w:val="Balloon Text"/>
    <w:basedOn w:val="Standaard"/>
    <w:link w:val="BallontekstChar"/>
    <w:uiPriority w:val="99"/>
    <w:semiHidden/>
    <w:rsid w:val="0002265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86F21"/>
    <w:rPr>
      <w:rFonts w:cs="Times New Roman"/>
      <w:sz w:val="2"/>
      <w:lang w:val="en-GB" w:eastAsia="en-US"/>
    </w:rPr>
  </w:style>
  <w:style w:type="paragraph" w:customStyle="1" w:styleId="bStandard15">
    <w:name w:val="b.Standard 15"/>
    <w:uiPriority w:val="99"/>
    <w:rsid w:val="00303163"/>
    <w:pPr>
      <w:spacing w:line="300" w:lineRule="atLeast"/>
    </w:pPr>
    <w:rPr>
      <w:rFonts w:ascii="Georgia" w:hAnsi="Georgia"/>
      <w:szCs w:val="24"/>
    </w:rPr>
  </w:style>
  <w:style w:type="paragraph" w:styleId="Revisie">
    <w:name w:val="Revision"/>
    <w:hidden/>
    <w:uiPriority w:val="99"/>
    <w:semiHidden/>
    <w:rsid w:val="00003EC2"/>
    <w:rPr>
      <w:rFonts w:ascii="Arial" w:hAnsi="Arial"/>
      <w:sz w:val="21"/>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2265E"/>
    <w:pPr>
      <w:spacing w:line="264" w:lineRule="auto"/>
      <w:jc w:val="both"/>
    </w:pPr>
    <w:rPr>
      <w:rFonts w:ascii="Arial" w:hAnsi="Arial"/>
      <w:sz w:val="21"/>
      <w:szCs w:val="24"/>
      <w:lang w:val="en-GB" w:eastAsia="en-US"/>
    </w:rPr>
  </w:style>
  <w:style w:type="paragraph" w:styleId="Kop1">
    <w:name w:val="heading 1"/>
    <w:basedOn w:val="Standaard"/>
    <w:next w:val="Standaard"/>
    <w:link w:val="Kop1Char"/>
    <w:uiPriority w:val="99"/>
    <w:qFormat/>
    <w:rsid w:val="0002265E"/>
    <w:pPr>
      <w:keepNext/>
      <w:spacing w:before="240" w:after="60"/>
      <w:outlineLvl w:val="0"/>
    </w:pPr>
    <w:rPr>
      <w:b/>
      <w:sz w:val="28"/>
    </w:rPr>
  </w:style>
  <w:style w:type="paragraph" w:styleId="Kop2">
    <w:name w:val="heading 2"/>
    <w:basedOn w:val="Standaard"/>
    <w:next w:val="Standaard"/>
    <w:link w:val="Kop2Char"/>
    <w:uiPriority w:val="99"/>
    <w:qFormat/>
    <w:rsid w:val="0002265E"/>
    <w:pPr>
      <w:keepNext/>
      <w:spacing w:before="240" w:after="60"/>
      <w:outlineLvl w:val="1"/>
    </w:pPr>
    <w:rPr>
      <w:b/>
      <w:i/>
      <w:sz w:val="24"/>
    </w:rPr>
  </w:style>
  <w:style w:type="paragraph" w:styleId="Kop3">
    <w:name w:val="heading 3"/>
    <w:basedOn w:val="Standaard"/>
    <w:next w:val="Standaard"/>
    <w:link w:val="Kop3Char"/>
    <w:uiPriority w:val="99"/>
    <w:qFormat/>
    <w:rsid w:val="0002265E"/>
    <w:pPr>
      <w:keepNext/>
      <w:spacing w:before="240" w:after="60"/>
      <w:outlineLvl w:val="2"/>
    </w:pPr>
    <w:rPr>
      <w:sz w:val="24"/>
    </w:rPr>
  </w:style>
  <w:style w:type="paragraph" w:styleId="Kop4">
    <w:name w:val="heading 4"/>
    <w:basedOn w:val="Standaard"/>
    <w:next w:val="Standaard"/>
    <w:link w:val="Kop4Char"/>
    <w:uiPriority w:val="99"/>
    <w:qFormat/>
    <w:rsid w:val="0002265E"/>
    <w:pPr>
      <w:keepNext/>
      <w:numPr>
        <w:ilvl w:val="3"/>
        <w:numId w:val="43"/>
      </w:numPr>
      <w:spacing w:before="240" w:after="60"/>
      <w:outlineLvl w:val="3"/>
    </w:pPr>
    <w:rPr>
      <w:rFonts w:ascii="Arial Bold" w:hAnsi="Arial Bold"/>
      <w:b/>
    </w:rPr>
  </w:style>
  <w:style w:type="paragraph" w:styleId="Kop5">
    <w:name w:val="heading 5"/>
    <w:basedOn w:val="Standaard"/>
    <w:next w:val="Standaard"/>
    <w:link w:val="Kop5Char"/>
    <w:uiPriority w:val="99"/>
    <w:qFormat/>
    <w:rsid w:val="0002265E"/>
    <w:pPr>
      <w:spacing w:before="240" w:after="60"/>
      <w:outlineLvl w:val="4"/>
    </w:pPr>
    <w:rPr>
      <w:sz w:val="22"/>
    </w:rPr>
  </w:style>
  <w:style w:type="paragraph" w:styleId="Kop6">
    <w:name w:val="heading 6"/>
    <w:basedOn w:val="Standaard"/>
    <w:next w:val="Standaard"/>
    <w:link w:val="Kop6Char"/>
    <w:uiPriority w:val="99"/>
    <w:qFormat/>
    <w:rsid w:val="0002265E"/>
    <w:pPr>
      <w:spacing w:before="240" w:after="60"/>
      <w:outlineLvl w:val="5"/>
    </w:pPr>
    <w:rPr>
      <w:rFonts w:ascii="Times New Roman" w:hAnsi="Times New Roman"/>
      <w:i/>
      <w:sz w:val="22"/>
    </w:rPr>
  </w:style>
  <w:style w:type="paragraph" w:styleId="Kop7">
    <w:name w:val="heading 7"/>
    <w:basedOn w:val="Standaard"/>
    <w:next w:val="Standaard"/>
    <w:link w:val="Kop7Char"/>
    <w:uiPriority w:val="99"/>
    <w:qFormat/>
    <w:rsid w:val="0002265E"/>
    <w:pPr>
      <w:spacing w:before="240" w:after="60"/>
      <w:outlineLvl w:val="6"/>
    </w:pPr>
    <w:rPr>
      <w:sz w:val="20"/>
    </w:rPr>
  </w:style>
  <w:style w:type="paragraph" w:styleId="Kop8">
    <w:name w:val="heading 8"/>
    <w:basedOn w:val="Standaard"/>
    <w:next w:val="Standaard"/>
    <w:link w:val="Kop8Char"/>
    <w:uiPriority w:val="99"/>
    <w:qFormat/>
    <w:rsid w:val="0002265E"/>
    <w:pPr>
      <w:spacing w:before="240" w:after="60"/>
      <w:outlineLvl w:val="7"/>
    </w:pPr>
    <w:rPr>
      <w:i/>
      <w:sz w:val="20"/>
    </w:rPr>
  </w:style>
  <w:style w:type="paragraph" w:styleId="Kop9">
    <w:name w:val="heading 9"/>
    <w:basedOn w:val="Standaard"/>
    <w:next w:val="Standaard"/>
    <w:link w:val="Kop9Char"/>
    <w:uiPriority w:val="99"/>
    <w:qFormat/>
    <w:rsid w:val="0002265E"/>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F21"/>
    <w:rPr>
      <w:rFonts w:ascii="Cambria" w:hAnsi="Cambria" w:cs="Times New Roman"/>
      <w:b/>
      <w:bCs/>
      <w:kern w:val="32"/>
      <w:sz w:val="32"/>
      <w:szCs w:val="32"/>
      <w:lang w:val="en-GB" w:eastAsia="en-US"/>
    </w:rPr>
  </w:style>
  <w:style w:type="character" w:customStyle="1" w:styleId="Kop2Char">
    <w:name w:val="Kop 2 Char"/>
    <w:basedOn w:val="Standaardalinea-lettertype"/>
    <w:link w:val="Kop2"/>
    <w:uiPriority w:val="99"/>
    <w:semiHidden/>
    <w:locked/>
    <w:rsid w:val="00886F21"/>
    <w:rPr>
      <w:rFonts w:ascii="Cambria" w:hAnsi="Cambria" w:cs="Times New Roman"/>
      <w:b/>
      <w:bCs/>
      <w:i/>
      <w:iCs/>
      <w:sz w:val="28"/>
      <w:szCs w:val="28"/>
      <w:lang w:val="en-GB" w:eastAsia="en-US"/>
    </w:rPr>
  </w:style>
  <w:style w:type="character" w:customStyle="1" w:styleId="Kop3Char">
    <w:name w:val="Kop 3 Char"/>
    <w:basedOn w:val="Standaardalinea-lettertype"/>
    <w:link w:val="Kop3"/>
    <w:uiPriority w:val="99"/>
    <w:semiHidden/>
    <w:locked/>
    <w:rsid w:val="00886F21"/>
    <w:rPr>
      <w:rFonts w:ascii="Cambria" w:hAnsi="Cambria" w:cs="Times New Roman"/>
      <w:b/>
      <w:bCs/>
      <w:sz w:val="26"/>
      <w:szCs w:val="26"/>
      <w:lang w:val="en-GB" w:eastAsia="en-US"/>
    </w:rPr>
  </w:style>
  <w:style w:type="character" w:customStyle="1" w:styleId="Kop4Char">
    <w:name w:val="Kop 4 Char"/>
    <w:basedOn w:val="Standaardalinea-lettertype"/>
    <w:link w:val="Kop4"/>
    <w:uiPriority w:val="99"/>
    <w:semiHidden/>
    <w:locked/>
    <w:rsid w:val="00886F21"/>
    <w:rPr>
      <w:rFonts w:ascii="Calibri" w:hAnsi="Calibri" w:cs="Times New Roman"/>
      <w:b/>
      <w:bCs/>
      <w:sz w:val="28"/>
      <w:szCs w:val="28"/>
      <w:lang w:val="en-GB" w:eastAsia="en-US"/>
    </w:rPr>
  </w:style>
  <w:style w:type="character" w:customStyle="1" w:styleId="Kop5Char">
    <w:name w:val="Kop 5 Char"/>
    <w:basedOn w:val="Standaardalinea-lettertype"/>
    <w:link w:val="Kop5"/>
    <w:uiPriority w:val="99"/>
    <w:semiHidden/>
    <w:locked/>
    <w:rsid w:val="00886F21"/>
    <w:rPr>
      <w:rFonts w:ascii="Calibri" w:hAnsi="Calibri" w:cs="Times New Roman"/>
      <w:b/>
      <w:bCs/>
      <w:i/>
      <w:iCs/>
      <w:sz w:val="26"/>
      <w:szCs w:val="26"/>
      <w:lang w:val="en-GB" w:eastAsia="en-US"/>
    </w:rPr>
  </w:style>
  <w:style w:type="character" w:customStyle="1" w:styleId="Kop6Char">
    <w:name w:val="Kop 6 Char"/>
    <w:basedOn w:val="Standaardalinea-lettertype"/>
    <w:link w:val="Kop6"/>
    <w:uiPriority w:val="99"/>
    <w:semiHidden/>
    <w:locked/>
    <w:rsid w:val="00886F21"/>
    <w:rPr>
      <w:rFonts w:ascii="Calibri" w:hAnsi="Calibri" w:cs="Times New Roman"/>
      <w:b/>
      <w:bCs/>
      <w:lang w:val="en-GB" w:eastAsia="en-US"/>
    </w:rPr>
  </w:style>
  <w:style w:type="character" w:customStyle="1" w:styleId="Kop7Char">
    <w:name w:val="Kop 7 Char"/>
    <w:basedOn w:val="Standaardalinea-lettertype"/>
    <w:link w:val="Kop7"/>
    <w:uiPriority w:val="99"/>
    <w:semiHidden/>
    <w:locked/>
    <w:rsid w:val="00886F21"/>
    <w:rPr>
      <w:rFonts w:ascii="Calibri" w:hAnsi="Calibri" w:cs="Times New Roman"/>
      <w:sz w:val="24"/>
      <w:szCs w:val="24"/>
      <w:lang w:val="en-GB" w:eastAsia="en-US"/>
    </w:rPr>
  </w:style>
  <w:style w:type="character" w:customStyle="1" w:styleId="Kop8Char">
    <w:name w:val="Kop 8 Char"/>
    <w:basedOn w:val="Standaardalinea-lettertype"/>
    <w:link w:val="Kop8"/>
    <w:uiPriority w:val="99"/>
    <w:semiHidden/>
    <w:locked/>
    <w:rsid w:val="00886F21"/>
    <w:rPr>
      <w:rFonts w:ascii="Calibri" w:hAnsi="Calibri" w:cs="Times New Roman"/>
      <w:i/>
      <w:iCs/>
      <w:sz w:val="24"/>
      <w:szCs w:val="24"/>
      <w:lang w:val="en-GB" w:eastAsia="en-US"/>
    </w:rPr>
  </w:style>
  <w:style w:type="character" w:customStyle="1" w:styleId="Kop9Char">
    <w:name w:val="Kop 9 Char"/>
    <w:basedOn w:val="Standaardalinea-lettertype"/>
    <w:link w:val="Kop9"/>
    <w:uiPriority w:val="99"/>
    <w:semiHidden/>
    <w:locked/>
    <w:rsid w:val="00886F21"/>
    <w:rPr>
      <w:rFonts w:ascii="Cambria" w:hAnsi="Cambria" w:cs="Times New Roman"/>
      <w:lang w:val="en-GB" w:eastAsia="en-US"/>
    </w:rPr>
  </w:style>
  <w:style w:type="paragraph" w:customStyle="1" w:styleId="Body">
    <w:name w:val="Body"/>
    <w:basedOn w:val="Standaard"/>
    <w:uiPriority w:val="99"/>
    <w:rsid w:val="0002265E"/>
    <w:pPr>
      <w:spacing w:after="210"/>
    </w:pPr>
  </w:style>
  <w:style w:type="paragraph" w:customStyle="1" w:styleId="Body1">
    <w:name w:val="Body 1"/>
    <w:basedOn w:val="Body"/>
    <w:uiPriority w:val="99"/>
    <w:rsid w:val="0002265E"/>
  </w:style>
  <w:style w:type="paragraph" w:customStyle="1" w:styleId="Body2">
    <w:name w:val="Body 2"/>
    <w:basedOn w:val="Body1"/>
    <w:uiPriority w:val="99"/>
    <w:rsid w:val="0002265E"/>
    <w:pPr>
      <w:ind w:left="709"/>
    </w:pPr>
  </w:style>
  <w:style w:type="paragraph" w:customStyle="1" w:styleId="Body3">
    <w:name w:val="Body 3"/>
    <w:basedOn w:val="Body2"/>
    <w:uiPriority w:val="99"/>
    <w:rsid w:val="0002265E"/>
    <w:pPr>
      <w:ind w:left="1418"/>
    </w:pPr>
  </w:style>
  <w:style w:type="paragraph" w:customStyle="1" w:styleId="Body4">
    <w:name w:val="Body 4"/>
    <w:basedOn w:val="Body3"/>
    <w:uiPriority w:val="99"/>
    <w:rsid w:val="0002265E"/>
    <w:pPr>
      <w:ind w:left="2126"/>
    </w:pPr>
  </w:style>
  <w:style w:type="paragraph" w:customStyle="1" w:styleId="Body5">
    <w:name w:val="Body 5"/>
    <w:basedOn w:val="Body4"/>
    <w:uiPriority w:val="99"/>
    <w:rsid w:val="0002265E"/>
    <w:pPr>
      <w:ind w:left="2835"/>
    </w:pPr>
  </w:style>
  <w:style w:type="character" w:customStyle="1" w:styleId="BoldText">
    <w:name w:val="BoldText"/>
    <w:basedOn w:val="Standaardalinea-lettertype"/>
    <w:uiPriority w:val="99"/>
    <w:rsid w:val="0002265E"/>
    <w:rPr>
      <w:rFonts w:cs="Times New Roman"/>
      <w:b/>
    </w:rPr>
  </w:style>
  <w:style w:type="paragraph" w:styleId="Voettekst">
    <w:name w:val="footer"/>
    <w:basedOn w:val="Standaard"/>
    <w:link w:val="VoettekstChar"/>
    <w:uiPriority w:val="99"/>
    <w:rsid w:val="0002265E"/>
    <w:pPr>
      <w:tabs>
        <w:tab w:val="center" w:pos="4536"/>
        <w:tab w:val="right" w:pos="9072"/>
      </w:tabs>
      <w:jc w:val="left"/>
    </w:pPr>
    <w:rPr>
      <w:sz w:val="16"/>
    </w:rPr>
  </w:style>
  <w:style w:type="character" w:customStyle="1" w:styleId="VoettekstChar">
    <w:name w:val="Voettekst Char"/>
    <w:basedOn w:val="Standaardalinea-lettertype"/>
    <w:link w:val="Voettekst"/>
    <w:uiPriority w:val="99"/>
    <w:semiHidden/>
    <w:locked/>
    <w:rsid w:val="00886F21"/>
    <w:rPr>
      <w:rFonts w:ascii="Arial" w:hAnsi="Arial" w:cs="Times New Roman"/>
      <w:sz w:val="24"/>
      <w:szCs w:val="24"/>
      <w:lang w:val="en-GB" w:eastAsia="en-US"/>
    </w:rPr>
  </w:style>
  <w:style w:type="character" w:styleId="Voetnootmarkering">
    <w:name w:val="footnote reference"/>
    <w:basedOn w:val="Standaardalinea-lettertype"/>
    <w:uiPriority w:val="99"/>
    <w:rsid w:val="0002265E"/>
    <w:rPr>
      <w:rFonts w:cs="Times New Roman"/>
      <w:vertAlign w:val="superscript"/>
    </w:rPr>
  </w:style>
  <w:style w:type="paragraph" w:styleId="Voetnoottekst">
    <w:name w:val="footnote text"/>
    <w:basedOn w:val="Standaard"/>
    <w:link w:val="VoetnoottekstChar"/>
    <w:uiPriority w:val="99"/>
    <w:rsid w:val="00003EC2"/>
    <w:pPr>
      <w:tabs>
        <w:tab w:val="left" w:pos="720"/>
      </w:tabs>
      <w:ind w:left="720" w:hanging="720"/>
    </w:pPr>
    <w:rPr>
      <w:sz w:val="16"/>
    </w:rPr>
  </w:style>
  <w:style w:type="character" w:customStyle="1" w:styleId="VoetnoottekstChar">
    <w:name w:val="Voetnoottekst Char"/>
    <w:basedOn w:val="Standaardalinea-lettertype"/>
    <w:link w:val="Voetnoottekst"/>
    <w:uiPriority w:val="99"/>
    <w:semiHidden/>
    <w:locked/>
    <w:rsid w:val="00886F21"/>
    <w:rPr>
      <w:rFonts w:ascii="Arial" w:hAnsi="Arial" w:cs="Times New Roman"/>
      <w:sz w:val="20"/>
      <w:szCs w:val="20"/>
      <w:lang w:val="en-GB" w:eastAsia="en-US"/>
    </w:rPr>
  </w:style>
  <w:style w:type="paragraph" w:styleId="Koptekst">
    <w:name w:val="header"/>
    <w:basedOn w:val="Standaard"/>
    <w:link w:val="KoptekstChar"/>
    <w:uiPriority w:val="99"/>
    <w:rsid w:val="0002265E"/>
    <w:pPr>
      <w:tabs>
        <w:tab w:val="center" w:pos="4536"/>
        <w:tab w:val="right" w:pos="9072"/>
      </w:tabs>
    </w:pPr>
  </w:style>
  <w:style w:type="character" w:customStyle="1" w:styleId="KoptekstChar">
    <w:name w:val="Koptekst Char"/>
    <w:basedOn w:val="Standaardalinea-lettertype"/>
    <w:link w:val="Koptekst"/>
    <w:uiPriority w:val="99"/>
    <w:semiHidden/>
    <w:locked/>
    <w:rsid w:val="00886F21"/>
    <w:rPr>
      <w:rFonts w:ascii="Arial" w:hAnsi="Arial" w:cs="Times New Roman"/>
      <w:sz w:val="24"/>
      <w:szCs w:val="24"/>
      <w:lang w:val="en-GB" w:eastAsia="en-US"/>
    </w:rPr>
  </w:style>
  <w:style w:type="character" w:customStyle="1" w:styleId="Heading1Text">
    <w:name w:val="Heading 1 Text"/>
    <w:basedOn w:val="BoldText"/>
    <w:uiPriority w:val="99"/>
    <w:rsid w:val="0002265E"/>
    <w:rPr>
      <w:rFonts w:cs="Times New Roman"/>
      <w:b/>
      <w:smallCaps/>
    </w:rPr>
  </w:style>
  <w:style w:type="character" w:customStyle="1" w:styleId="Heading2Text">
    <w:name w:val="Heading 2 Text"/>
    <w:basedOn w:val="BoldText"/>
    <w:uiPriority w:val="99"/>
    <w:rsid w:val="0002265E"/>
    <w:rPr>
      <w:rFonts w:cs="Times New Roman"/>
      <w:b/>
    </w:rPr>
  </w:style>
  <w:style w:type="character" w:customStyle="1" w:styleId="Heading3Text">
    <w:name w:val="Heading 3 Text"/>
    <w:basedOn w:val="Heading2Text"/>
    <w:uiPriority w:val="99"/>
    <w:rsid w:val="0002265E"/>
    <w:rPr>
      <w:rFonts w:cs="Times New Roman"/>
      <w:b/>
    </w:rPr>
  </w:style>
  <w:style w:type="character" w:customStyle="1" w:styleId="Heading4Text">
    <w:name w:val="Heading 4 Text"/>
    <w:basedOn w:val="Heading3Text"/>
    <w:uiPriority w:val="99"/>
    <w:rsid w:val="0002265E"/>
    <w:rPr>
      <w:rFonts w:cs="Times New Roman"/>
      <w:b/>
    </w:rPr>
  </w:style>
  <w:style w:type="paragraph" w:customStyle="1" w:styleId="Level1">
    <w:name w:val="Level 1"/>
    <w:basedOn w:val="Body1"/>
    <w:next w:val="Body2"/>
    <w:uiPriority w:val="99"/>
    <w:rsid w:val="0002265E"/>
    <w:pPr>
      <w:numPr>
        <w:numId w:val="41"/>
      </w:numPr>
      <w:outlineLvl w:val="0"/>
    </w:pPr>
  </w:style>
  <w:style w:type="paragraph" w:customStyle="1" w:styleId="Level2">
    <w:name w:val="Level 2"/>
    <w:basedOn w:val="Body2"/>
    <w:next w:val="Body2"/>
    <w:uiPriority w:val="99"/>
    <w:rsid w:val="0002265E"/>
    <w:pPr>
      <w:numPr>
        <w:ilvl w:val="1"/>
        <w:numId w:val="41"/>
      </w:numPr>
      <w:outlineLvl w:val="1"/>
    </w:pPr>
  </w:style>
  <w:style w:type="paragraph" w:customStyle="1" w:styleId="Level3">
    <w:name w:val="Level 3"/>
    <w:basedOn w:val="Body3"/>
    <w:next w:val="Body3"/>
    <w:uiPriority w:val="99"/>
    <w:rsid w:val="0002265E"/>
    <w:pPr>
      <w:numPr>
        <w:ilvl w:val="2"/>
        <w:numId w:val="41"/>
      </w:numPr>
      <w:outlineLvl w:val="2"/>
    </w:pPr>
  </w:style>
  <w:style w:type="paragraph" w:customStyle="1" w:styleId="Level4">
    <w:name w:val="Level 4"/>
    <w:basedOn w:val="Body4"/>
    <w:next w:val="Body4"/>
    <w:uiPriority w:val="99"/>
    <w:rsid w:val="0002265E"/>
    <w:pPr>
      <w:numPr>
        <w:ilvl w:val="3"/>
        <w:numId w:val="41"/>
      </w:numPr>
      <w:outlineLvl w:val="3"/>
    </w:pPr>
  </w:style>
  <w:style w:type="paragraph" w:customStyle="1" w:styleId="Level5">
    <w:name w:val="Level 5"/>
    <w:basedOn w:val="Body5"/>
    <w:next w:val="Body5"/>
    <w:uiPriority w:val="99"/>
    <w:rsid w:val="0002265E"/>
    <w:pPr>
      <w:numPr>
        <w:ilvl w:val="4"/>
        <w:numId w:val="41"/>
      </w:numPr>
      <w:outlineLvl w:val="4"/>
    </w:pPr>
  </w:style>
  <w:style w:type="paragraph" w:styleId="Inhopg1">
    <w:name w:val="toc 1"/>
    <w:basedOn w:val="Body"/>
    <w:next w:val="Standaard"/>
    <w:autoRedefine/>
    <w:uiPriority w:val="99"/>
    <w:semiHidden/>
    <w:rsid w:val="0002265E"/>
    <w:pPr>
      <w:tabs>
        <w:tab w:val="left" w:pos="709"/>
        <w:tab w:val="right" w:pos="9072"/>
      </w:tabs>
      <w:spacing w:after="120"/>
      <w:ind w:left="709" w:right="709" w:hanging="709"/>
    </w:pPr>
  </w:style>
  <w:style w:type="paragraph" w:styleId="Inhopg2">
    <w:name w:val="toc 2"/>
    <w:basedOn w:val="Inhopg1"/>
    <w:autoRedefine/>
    <w:uiPriority w:val="99"/>
    <w:semiHidden/>
    <w:rsid w:val="0002265E"/>
    <w:pPr>
      <w:tabs>
        <w:tab w:val="clear" w:pos="709"/>
        <w:tab w:val="left" w:pos="706"/>
      </w:tabs>
      <w:ind w:left="1418"/>
    </w:pPr>
  </w:style>
  <w:style w:type="paragraph" w:styleId="Inhopg3">
    <w:name w:val="toc 3"/>
    <w:basedOn w:val="Inhopg2"/>
    <w:next w:val="Standaard"/>
    <w:autoRedefine/>
    <w:uiPriority w:val="99"/>
    <w:semiHidden/>
    <w:rsid w:val="0002265E"/>
    <w:pPr>
      <w:tabs>
        <w:tab w:val="left" w:pos="1418"/>
      </w:tabs>
      <w:ind w:left="2127"/>
    </w:pPr>
  </w:style>
  <w:style w:type="paragraph" w:styleId="Inhopg4">
    <w:name w:val="toc 4"/>
    <w:basedOn w:val="Standaard"/>
    <w:next w:val="Standaard"/>
    <w:autoRedefine/>
    <w:uiPriority w:val="99"/>
    <w:semiHidden/>
    <w:rsid w:val="0002265E"/>
    <w:pPr>
      <w:ind w:left="2126" w:right="709"/>
    </w:pPr>
  </w:style>
  <w:style w:type="paragraph" w:styleId="Bloktekst">
    <w:name w:val="Block Text"/>
    <w:basedOn w:val="Standaard"/>
    <w:uiPriority w:val="99"/>
    <w:semiHidden/>
    <w:rsid w:val="0002265E"/>
    <w:pPr>
      <w:spacing w:after="120"/>
      <w:ind w:left="1440" w:right="1440"/>
    </w:pPr>
  </w:style>
  <w:style w:type="paragraph" w:styleId="Plattetekst">
    <w:name w:val="Body Text"/>
    <w:basedOn w:val="Standaard"/>
    <w:link w:val="PlattetekstChar"/>
    <w:uiPriority w:val="99"/>
    <w:semiHidden/>
    <w:rsid w:val="0002265E"/>
    <w:pPr>
      <w:spacing w:after="120"/>
    </w:pPr>
  </w:style>
  <w:style w:type="character" w:customStyle="1" w:styleId="PlattetekstChar">
    <w:name w:val="Platte tekst Char"/>
    <w:basedOn w:val="Standaardalinea-lettertype"/>
    <w:link w:val="Plattetekst"/>
    <w:uiPriority w:val="99"/>
    <w:semiHidden/>
    <w:locked/>
    <w:rsid w:val="00886F21"/>
    <w:rPr>
      <w:rFonts w:ascii="Arial" w:hAnsi="Arial" w:cs="Times New Roman"/>
      <w:sz w:val="24"/>
      <w:szCs w:val="24"/>
      <w:lang w:val="en-GB" w:eastAsia="en-US"/>
    </w:rPr>
  </w:style>
  <w:style w:type="character" w:customStyle="1" w:styleId="BoldItalicText">
    <w:name w:val="BoldItalicText"/>
    <w:basedOn w:val="Standaardalinea-lettertype"/>
    <w:uiPriority w:val="99"/>
    <w:semiHidden/>
    <w:rsid w:val="0002265E"/>
    <w:rPr>
      <w:rFonts w:cs="Times New Roman"/>
      <w:b/>
      <w:i/>
    </w:rPr>
  </w:style>
  <w:style w:type="character" w:customStyle="1" w:styleId="ItalicText">
    <w:name w:val="ItalicText"/>
    <w:basedOn w:val="Standaardalinea-lettertype"/>
    <w:uiPriority w:val="99"/>
    <w:rsid w:val="0002265E"/>
    <w:rPr>
      <w:rFonts w:cs="Times New Roman"/>
      <w:i/>
    </w:rPr>
  </w:style>
  <w:style w:type="character" w:customStyle="1" w:styleId="BoldUnderlinedText">
    <w:name w:val="BoldUnderlinedText"/>
    <w:basedOn w:val="Standaardalinea-lettertype"/>
    <w:uiPriority w:val="99"/>
    <w:semiHidden/>
    <w:rsid w:val="0002265E"/>
    <w:rPr>
      <w:rFonts w:cs="Times New Roman"/>
      <w:b/>
      <w:u w:val="single"/>
    </w:rPr>
  </w:style>
  <w:style w:type="character" w:customStyle="1" w:styleId="UnderlinedText">
    <w:name w:val="UnderlinedText"/>
    <w:basedOn w:val="Standaardalinea-lettertype"/>
    <w:uiPriority w:val="99"/>
    <w:rsid w:val="0002265E"/>
    <w:rPr>
      <w:rFonts w:cs="Times New Roman"/>
      <w:u w:val="single"/>
    </w:rPr>
  </w:style>
  <w:style w:type="paragraph" w:styleId="Plattetekst2">
    <w:name w:val="Body Text 2"/>
    <w:basedOn w:val="Standaard"/>
    <w:link w:val="Plattetekst2Char"/>
    <w:uiPriority w:val="99"/>
    <w:semiHidden/>
    <w:rsid w:val="0002265E"/>
    <w:pPr>
      <w:spacing w:after="120" w:line="480" w:lineRule="auto"/>
    </w:pPr>
  </w:style>
  <w:style w:type="character" w:customStyle="1" w:styleId="Plattetekst2Char">
    <w:name w:val="Platte tekst 2 Char"/>
    <w:basedOn w:val="Standaardalinea-lettertype"/>
    <w:link w:val="Plattetekst2"/>
    <w:uiPriority w:val="99"/>
    <w:semiHidden/>
    <w:locked/>
    <w:rsid w:val="00886F21"/>
    <w:rPr>
      <w:rFonts w:ascii="Arial" w:hAnsi="Arial" w:cs="Times New Roman"/>
      <w:sz w:val="24"/>
      <w:szCs w:val="24"/>
      <w:lang w:val="en-GB" w:eastAsia="en-US"/>
    </w:rPr>
  </w:style>
  <w:style w:type="paragraph" w:styleId="Plattetekst3">
    <w:name w:val="Body Text 3"/>
    <w:basedOn w:val="Standaard"/>
    <w:link w:val="Plattetekst3Char"/>
    <w:uiPriority w:val="99"/>
    <w:semiHidden/>
    <w:rsid w:val="0002265E"/>
    <w:pPr>
      <w:spacing w:after="120"/>
    </w:pPr>
    <w:rPr>
      <w:sz w:val="16"/>
    </w:rPr>
  </w:style>
  <w:style w:type="character" w:customStyle="1" w:styleId="Plattetekst3Char">
    <w:name w:val="Platte tekst 3 Char"/>
    <w:basedOn w:val="Standaardalinea-lettertype"/>
    <w:link w:val="Plattetekst3"/>
    <w:uiPriority w:val="99"/>
    <w:semiHidden/>
    <w:locked/>
    <w:rsid w:val="00886F21"/>
    <w:rPr>
      <w:rFonts w:ascii="Arial" w:hAnsi="Arial" w:cs="Times New Roman"/>
      <w:sz w:val="16"/>
      <w:szCs w:val="16"/>
      <w:lang w:val="en-GB" w:eastAsia="en-US"/>
    </w:rPr>
  </w:style>
  <w:style w:type="paragraph" w:styleId="Platteteksteersteinspringing">
    <w:name w:val="Body Text First Indent"/>
    <w:basedOn w:val="Plattetekst"/>
    <w:link w:val="PlatteteksteersteinspringingChar"/>
    <w:uiPriority w:val="99"/>
    <w:semiHidden/>
    <w:rsid w:val="0002265E"/>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886F21"/>
    <w:rPr>
      <w:rFonts w:ascii="Arial" w:hAnsi="Arial" w:cs="Times New Roman"/>
      <w:sz w:val="24"/>
      <w:szCs w:val="24"/>
      <w:lang w:val="en-GB" w:eastAsia="en-US"/>
    </w:rPr>
  </w:style>
  <w:style w:type="paragraph" w:styleId="Plattetekstinspringen">
    <w:name w:val="Body Text Indent"/>
    <w:basedOn w:val="Standaard"/>
    <w:link w:val="PlattetekstinspringenChar"/>
    <w:uiPriority w:val="99"/>
    <w:semiHidden/>
    <w:rsid w:val="0002265E"/>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886F21"/>
    <w:rPr>
      <w:rFonts w:ascii="Arial" w:hAnsi="Arial" w:cs="Times New Roman"/>
      <w:sz w:val="24"/>
      <w:szCs w:val="24"/>
      <w:lang w:val="en-GB" w:eastAsia="en-US"/>
    </w:rPr>
  </w:style>
  <w:style w:type="paragraph" w:styleId="Platteteksteersteinspringing2">
    <w:name w:val="Body Text First Indent 2"/>
    <w:basedOn w:val="Plattetekstinspringen"/>
    <w:link w:val="Platteteksteersteinspringing2Char"/>
    <w:uiPriority w:val="99"/>
    <w:semiHidden/>
    <w:rsid w:val="0002265E"/>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886F21"/>
    <w:rPr>
      <w:rFonts w:ascii="Arial" w:hAnsi="Arial" w:cs="Times New Roman"/>
      <w:sz w:val="24"/>
      <w:szCs w:val="24"/>
      <w:lang w:val="en-GB" w:eastAsia="en-US"/>
    </w:rPr>
  </w:style>
  <w:style w:type="paragraph" w:styleId="Plattetekstinspringen2">
    <w:name w:val="Body Text Indent 2"/>
    <w:basedOn w:val="Standaard"/>
    <w:link w:val="Plattetekstinspringen2Char"/>
    <w:uiPriority w:val="99"/>
    <w:semiHidden/>
    <w:rsid w:val="0002265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886F21"/>
    <w:rPr>
      <w:rFonts w:ascii="Arial" w:hAnsi="Arial" w:cs="Times New Roman"/>
      <w:sz w:val="24"/>
      <w:szCs w:val="24"/>
      <w:lang w:val="en-GB" w:eastAsia="en-US"/>
    </w:rPr>
  </w:style>
  <w:style w:type="paragraph" w:styleId="Plattetekstinspringen3">
    <w:name w:val="Body Text Indent 3"/>
    <w:basedOn w:val="Standaard"/>
    <w:link w:val="Plattetekstinspringen3Char"/>
    <w:uiPriority w:val="99"/>
    <w:semiHidden/>
    <w:rsid w:val="0002265E"/>
    <w:pPr>
      <w:spacing w:after="120"/>
      <w:ind w:left="283"/>
    </w:pPr>
    <w:rPr>
      <w:sz w:val="16"/>
    </w:rPr>
  </w:style>
  <w:style w:type="character" w:customStyle="1" w:styleId="Plattetekstinspringen3Char">
    <w:name w:val="Platte tekst inspringen 3 Char"/>
    <w:basedOn w:val="Standaardalinea-lettertype"/>
    <w:link w:val="Plattetekstinspringen3"/>
    <w:uiPriority w:val="99"/>
    <w:semiHidden/>
    <w:locked/>
    <w:rsid w:val="00886F21"/>
    <w:rPr>
      <w:rFonts w:ascii="Arial" w:hAnsi="Arial" w:cs="Times New Roman"/>
      <w:sz w:val="16"/>
      <w:szCs w:val="16"/>
      <w:lang w:val="en-GB" w:eastAsia="en-US"/>
    </w:rPr>
  </w:style>
  <w:style w:type="paragraph" w:styleId="Bijschrift">
    <w:name w:val="caption"/>
    <w:basedOn w:val="Standaard"/>
    <w:next w:val="Standaard"/>
    <w:uiPriority w:val="99"/>
    <w:qFormat/>
    <w:rsid w:val="0002265E"/>
    <w:pPr>
      <w:spacing w:before="120" w:after="120"/>
    </w:pPr>
    <w:rPr>
      <w:b/>
    </w:rPr>
  </w:style>
  <w:style w:type="paragraph" w:styleId="Afsluiting">
    <w:name w:val="Closing"/>
    <w:basedOn w:val="Standaard"/>
    <w:link w:val="AfsluitingChar"/>
    <w:uiPriority w:val="99"/>
    <w:semiHidden/>
    <w:rsid w:val="0002265E"/>
    <w:pPr>
      <w:ind w:left="4252"/>
    </w:pPr>
  </w:style>
  <w:style w:type="character" w:customStyle="1" w:styleId="AfsluitingChar">
    <w:name w:val="Afsluiting Char"/>
    <w:basedOn w:val="Standaardalinea-lettertype"/>
    <w:link w:val="Afsluiting"/>
    <w:uiPriority w:val="99"/>
    <w:semiHidden/>
    <w:locked/>
    <w:rsid w:val="00886F21"/>
    <w:rPr>
      <w:rFonts w:ascii="Arial" w:hAnsi="Arial" w:cs="Times New Roman"/>
      <w:sz w:val="24"/>
      <w:szCs w:val="24"/>
      <w:lang w:val="en-GB" w:eastAsia="en-US"/>
    </w:rPr>
  </w:style>
  <w:style w:type="character" w:styleId="Verwijzingopmerking">
    <w:name w:val="annotation reference"/>
    <w:basedOn w:val="Standaardalinea-lettertype"/>
    <w:uiPriority w:val="99"/>
    <w:semiHidden/>
    <w:rsid w:val="0002265E"/>
    <w:rPr>
      <w:rFonts w:cs="Times New Roman"/>
      <w:sz w:val="16"/>
    </w:rPr>
  </w:style>
  <w:style w:type="paragraph" w:styleId="Tekstopmerking">
    <w:name w:val="annotation text"/>
    <w:basedOn w:val="Standaard"/>
    <w:link w:val="TekstopmerkingChar"/>
    <w:uiPriority w:val="99"/>
    <w:semiHidden/>
    <w:rsid w:val="0002265E"/>
    <w:rPr>
      <w:sz w:val="20"/>
    </w:rPr>
  </w:style>
  <w:style w:type="character" w:customStyle="1" w:styleId="TekstopmerkingChar">
    <w:name w:val="Tekst opmerking Char"/>
    <w:basedOn w:val="Standaardalinea-lettertype"/>
    <w:link w:val="Tekstopmerking"/>
    <w:uiPriority w:val="99"/>
    <w:semiHidden/>
    <w:locked/>
    <w:rsid w:val="00886F21"/>
    <w:rPr>
      <w:rFonts w:ascii="Arial" w:hAnsi="Arial" w:cs="Times New Roman"/>
      <w:sz w:val="20"/>
      <w:szCs w:val="20"/>
      <w:lang w:val="en-GB" w:eastAsia="en-US"/>
    </w:rPr>
  </w:style>
  <w:style w:type="paragraph" w:styleId="Datum">
    <w:name w:val="Date"/>
    <w:basedOn w:val="Standaard"/>
    <w:next w:val="Standaard"/>
    <w:link w:val="DatumChar"/>
    <w:uiPriority w:val="99"/>
    <w:semiHidden/>
    <w:rsid w:val="0002265E"/>
  </w:style>
  <w:style w:type="character" w:customStyle="1" w:styleId="DatumChar">
    <w:name w:val="Datum Char"/>
    <w:basedOn w:val="Standaardalinea-lettertype"/>
    <w:link w:val="Datum"/>
    <w:uiPriority w:val="99"/>
    <w:semiHidden/>
    <w:locked/>
    <w:rsid w:val="00886F21"/>
    <w:rPr>
      <w:rFonts w:ascii="Arial" w:hAnsi="Arial" w:cs="Times New Roman"/>
      <w:sz w:val="24"/>
      <w:szCs w:val="24"/>
      <w:lang w:val="en-GB" w:eastAsia="en-US"/>
    </w:rPr>
  </w:style>
  <w:style w:type="paragraph" w:styleId="Documentstructuur">
    <w:name w:val="Document Map"/>
    <w:basedOn w:val="Standaard"/>
    <w:link w:val="DocumentstructuurChar"/>
    <w:uiPriority w:val="99"/>
    <w:semiHidden/>
    <w:rsid w:val="0002265E"/>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9"/>
    <w:semiHidden/>
    <w:locked/>
    <w:rsid w:val="00886F21"/>
    <w:rPr>
      <w:rFonts w:cs="Times New Roman"/>
      <w:sz w:val="2"/>
      <w:lang w:val="en-GB" w:eastAsia="en-US"/>
    </w:rPr>
  </w:style>
  <w:style w:type="character" w:styleId="Nadruk">
    <w:name w:val="Emphasis"/>
    <w:basedOn w:val="Standaardalinea-lettertype"/>
    <w:uiPriority w:val="99"/>
    <w:qFormat/>
    <w:rsid w:val="0002265E"/>
    <w:rPr>
      <w:rFonts w:cs="Times New Roman"/>
      <w:i/>
    </w:rPr>
  </w:style>
  <w:style w:type="character" w:styleId="Eindnootmarkering">
    <w:name w:val="endnote reference"/>
    <w:basedOn w:val="Standaardalinea-lettertype"/>
    <w:uiPriority w:val="99"/>
    <w:semiHidden/>
    <w:rsid w:val="0002265E"/>
    <w:rPr>
      <w:rFonts w:cs="Times New Roman"/>
      <w:vertAlign w:val="superscript"/>
    </w:rPr>
  </w:style>
  <w:style w:type="paragraph" w:styleId="Eindnoottekst">
    <w:name w:val="endnote text"/>
    <w:basedOn w:val="Standaard"/>
    <w:link w:val="EindnoottekstChar"/>
    <w:uiPriority w:val="99"/>
    <w:semiHidden/>
    <w:rsid w:val="0002265E"/>
    <w:rPr>
      <w:sz w:val="20"/>
    </w:rPr>
  </w:style>
  <w:style w:type="character" w:customStyle="1" w:styleId="EindnoottekstChar">
    <w:name w:val="Eindnoottekst Char"/>
    <w:basedOn w:val="Standaardalinea-lettertype"/>
    <w:link w:val="Eindnoottekst"/>
    <w:uiPriority w:val="99"/>
    <w:semiHidden/>
    <w:locked/>
    <w:rsid w:val="00886F21"/>
    <w:rPr>
      <w:rFonts w:ascii="Arial" w:hAnsi="Arial" w:cs="Times New Roman"/>
      <w:sz w:val="20"/>
      <w:szCs w:val="20"/>
      <w:lang w:val="en-GB" w:eastAsia="en-US"/>
    </w:rPr>
  </w:style>
  <w:style w:type="paragraph" w:styleId="Adresenvelop">
    <w:name w:val="envelope address"/>
    <w:basedOn w:val="Standaard"/>
    <w:uiPriority w:val="99"/>
    <w:semiHidden/>
    <w:rsid w:val="0002265E"/>
    <w:pPr>
      <w:framePr w:w="7920" w:h="1980" w:hRule="exact" w:hSpace="180" w:wrap="auto" w:hAnchor="page" w:xAlign="center" w:yAlign="bottom"/>
      <w:ind w:left="2880"/>
    </w:pPr>
    <w:rPr>
      <w:sz w:val="24"/>
    </w:rPr>
  </w:style>
  <w:style w:type="paragraph" w:styleId="Afzender">
    <w:name w:val="envelope return"/>
    <w:basedOn w:val="Standaard"/>
    <w:uiPriority w:val="99"/>
    <w:semiHidden/>
    <w:rsid w:val="0002265E"/>
    <w:rPr>
      <w:sz w:val="20"/>
    </w:rPr>
  </w:style>
  <w:style w:type="character" w:styleId="GevolgdeHyperlink">
    <w:name w:val="FollowedHyperlink"/>
    <w:basedOn w:val="Standaardalinea-lettertype"/>
    <w:uiPriority w:val="99"/>
    <w:rsid w:val="0002265E"/>
    <w:rPr>
      <w:rFonts w:cs="Times New Roman"/>
      <w:color w:val="800080"/>
      <w:u w:val="single"/>
    </w:rPr>
  </w:style>
  <w:style w:type="character" w:styleId="Hyperlink">
    <w:name w:val="Hyperlink"/>
    <w:basedOn w:val="Standaardalinea-lettertype"/>
    <w:uiPriority w:val="99"/>
    <w:rsid w:val="0002265E"/>
    <w:rPr>
      <w:rFonts w:cs="Times New Roman"/>
      <w:color w:val="0000FF"/>
      <w:u w:val="single"/>
    </w:rPr>
  </w:style>
  <w:style w:type="paragraph" w:styleId="Index1">
    <w:name w:val="index 1"/>
    <w:basedOn w:val="Standaard"/>
    <w:next w:val="Standaard"/>
    <w:autoRedefine/>
    <w:uiPriority w:val="99"/>
    <w:semiHidden/>
    <w:rsid w:val="0002265E"/>
    <w:pPr>
      <w:ind w:left="210" w:hanging="210"/>
    </w:pPr>
  </w:style>
  <w:style w:type="paragraph" w:styleId="Index2">
    <w:name w:val="index 2"/>
    <w:basedOn w:val="Standaard"/>
    <w:next w:val="Standaard"/>
    <w:autoRedefine/>
    <w:uiPriority w:val="99"/>
    <w:semiHidden/>
    <w:rsid w:val="0002265E"/>
    <w:pPr>
      <w:ind w:left="420" w:hanging="210"/>
    </w:pPr>
  </w:style>
  <w:style w:type="paragraph" w:styleId="Index3">
    <w:name w:val="index 3"/>
    <w:basedOn w:val="Standaard"/>
    <w:next w:val="Standaard"/>
    <w:autoRedefine/>
    <w:uiPriority w:val="99"/>
    <w:semiHidden/>
    <w:rsid w:val="0002265E"/>
    <w:pPr>
      <w:ind w:left="630" w:hanging="210"/>
    </w:pPr>
  </w:style>
  <w:style w:type="paragraph" w:styleId="Index4">
    <w:name w:val="index 4"/>
    <w:basedOn w:val="Standaard"/>
    <w:next w:val="Standaard"/>
    <w:autoRedefine/>
    <w:uiPriority w:val="99"/>
    <w:semiHidden/>
    <w:rsid w:val="0002265E"/>
    <w:pPr>
      <w:ind w:left="840" w:hanging="210"/>
    </w:pPr>
  </w:style>
  <w:style w:type="paragraph" w:styleId="Index5">
    <w:name w:val="index 5"/>
    <w:basedOn w:val="Standaard"/>
    <w:next w:val="Standaard"/>
    <w:autoRedefine/>
    <w:uiPriority w:val="99"/>
    <w:semiHidden/>
    <w:rsid w:val="0002265E"/>
    <w:pPr>
      <w:ind w:left="1050" w:hanging="210"/>
    </w:pPr>
  </w:style>
  <w:style w:type="paragraph" w:styleId="Index6">
    <w:name w:val="index 6"/>
    <w:basedOn w:val="Standaard"/>
    <w:next w:val="Standaard"/>
    <w:autoRedefine/>
    <w:uiPriority w:val="99"/>
    <w:semiHidden/>
    <w:rsid w:val="0002265E"/>
    <w:pPr>
      <w:ind w:left="1260" w:hanging="210"/>
    </w:pPr>
  </w:style>
  <w:style w:type="paragraph" w:styleId="Index7">
    <w:name w:val="index 7"/>
    <w:basedOn w:val="Standaard"/>
    <w:next w:val="Standaard"/>
    <w:autoRedefine/>
    <w:uiPriority w:val="99"/>
    <w:semiHidden/>
    <w:rsid w:val="0002265E"/>
    <w:pPr>
      <w:ind w:left="1470" w:hanging="210"/>
    </w:pPr>
  </w:style>
  <w:style w:type="paragraph" w:styleId="Index8">
    <w:name w:val="index 8"/>
    <w:basedOn w:val="Standaard"/>
    <w:next w:val="Standaard"/>
    <w:autoRedefine/>
    <w:uiPriority w:val="99"/>
    <w:semiHidden/>
    <w:rsid w:val="0002265E"/>
    <w:pPr>
      <w:ind w:left="1680" w:hanging="210"/>
    </w:pPr>
  </w:style>
  <w:style w:type="paragraph" w:styleId="Index9">
    <w:name w:val="index 9"/>
    <w:basedOn w:val="Standaard"/>
    <w:next w:val="Standaard"/>
    <w:autoRedefine/>
    <w:uiPriority w:val="99"/>
    <w:semiHidden/>
    <w:rsid w:val="0002265E"/>
    <w:pPr>
      <w:ind w:left="1890" w:hanging="210"/>
    </w:pPr>
  </w:style>
  <w:style w:type="paragraph" w:styleId="Indexkop">
    <w:name w:val="index heading"/>
    <w:basedOn w:val="Standaard"/>
    <w:next w:val="Index1"/>
    <w:uiPriority w:val="99"/>
    <w:semiHidden/>
    <w:rsid w:val="0002265E"/>
    <w:rPr>
      <w:b/>
    </w:rPr>
  </w:style>
  <w:style w:type="character" w:styleId="Regelnummer">
    <w:name w:val="line number"/>
    <w:basedOn w:val="Standaardalinea-lettertype"/>
    <w:uiPriority w:val="99"/>
    <w:semiHidden/>
    <w:rsid w:val="0002265E"/>
    <w:rPr>
      <w:rFonts w:cs="Times New Roman"/>
    </w:rPr>
  </w:style>
  <w:style w:type="paragraph" w:styleId="Macrotekst">
    <w:name w:val="macro"/>
    <w:link w:val="MacrotekstChar"/>
    <w:uiPriority w:val="99"/>
    <w:semiHidden/>
    <w:rsid w:val="0002265E"/>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0"/>
      <w:szCs w:val="20"/>
      <w:lang w:val="en-GB" w:eastAsia="zh-CN"/>
    </w:rPr>
  </w:style>
  <w:style w:type="character" w:customStyle="1" w:styleId="MacrotekstChar">
    <w:name w:val="Macrotekst Char"/>
    <w:basedOn w:val="Standaardalinea-lettertype"/>
    <w:link w:val="Macrotekst"/>
    <w:uiPriority w:val="99"/>
    <w:semiHidden/>
    <w:locked/>
    <w:rsid w:val="00886F21"/>
    <w:rPr>
      <w:rFonts w:ascii="Courier New" w:hAnsi="Courier New" w:cs="Times New Roman"/>
      <w:kern w:val="28"/>
      <w:lang w:val="en-GB" w:eastAsia="zh-CN" w:bidi="ar-SA"/>
    </w:rPr>
  </w:style>
  <w:style w:type="paragraph" w:styleId="Berichtkop">
    <w:name w:val="Message Header"/>
    <w:basedOn w:val="Standaard"/>
    <w:link w:val="BerichtkopChar"/>
    <w:uiPriority w:val="99"/>
    <w:semiHidden/>
    <w:rsid w:val="0002265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locked/>
    <w:rsid w:val="00886F21"/>
    <w:rPr>
      <w:rFonts w:ascii="Cambria" w:hAnsi="Cambria" w:cs="Times New Roman"/>
      <w:sz w:val="24"/>
      <w:szCs w:val="24"/>
      <w:shd w:val="pct20" w:color="auto" w:fill="auto"/>
      <w:lang w:val="en-GB" w:eastAsia="en-US"/>
    </w:rPr>
  </w:style>
  <w:style w:type="paragraph" w:styleId="Standaardinspringing">
    <w:name w:val="Normal Indent"/>
    <w:basedOn w:val="Standaard"/>
    <w:uiPriority w:val="99"/>
    <w:rsid w:val="0002265E"/>
    <w:pPr>
      <w:ind w:left="720"/>
    </w:pPr>
  </w:style>
  <w:style w:type="paragraph" w:styleId="Notitiekop">
    <w:name w:val="Note Heading"/>
    <w:basedOn w:val="Standaard"/>
    <w:next w:val="Standaard"/>
    <w:link w:val="NotitiekopChar"/>
    <w:uiPriority w:val="99"/>
    <w:semiHidden/>
    <w:rsid w:val="0002265E"/>
  </w:style>
  <w:style w:type="character" w:customStyle="1" w:styleId="NotitiekopChar">
    <w:name w:val="Notitiekop Char"/>
    <w:basedOn w:val="Standaardalinea-lettertype"/>
    <w:link w:val="Notitiekop"/>
    <w:uiPriority w:val="99"/>
    <w:semiHidden/>
    <w:locked/>
    <w:rsid w:val="00886F21"/>
    <w:rPr>
      <w:rFonts w:ascii="Arial" w:hAnsi="Arial" w:cs="Times New Roman"/>
      <w:sz w:val="24"/>
      <w:szCs w:val="24"/>
      <w:lang w:val="en-GB" w:eastAsia="en-US"/>
    </w:rPr>
  </w:style>
  <w:style w:type="character" w:styleId="Paginanummer">
    <w:name w:val="page number"/>
    <w:basedOn w:val="Standaardalinea-lettertype"/>
    <w:uiPriority w:val="99"/>
    <w:semiHidden/>
    <w:rsid w:val="0002265E"/>
    <w:rPr>
      <w:rFonts w:cs="Times New Roman"/>
    </w:rPr>
  </w:style>
  <w:style w:type="paragraph" w:styleId="Tekstzonderopmaak">
    <w:name w:val="Plain Text"/>
    <w:basedOn w:val="Standaard"/>
    <w:link w:val="TekstzonderopmaakChar"/>
    <w:uiPriority w:val="99"/>
    <w:semiHidden/>
    <w:rsid w:val="0002265E"/>
    <w:rPr>
      <w:rFonts w:ascii="Courier New" w:hAnsi="Courier New"/>
      <w:sz w:val="20"/>
    </w:rPr>
  </w:style>
  <w:style w:type="character" w:customStyle="1" w:styleId="TekstzonderopmaakChar">
    <w:name w:val="Tekst zonder opmaak Char"/>
    <w:basedOn w:val="Standaardalinea-lettertype"/>
    <w:link w:val="Tekstzonderopmaak"/>
    <w:uiPriority w:val="99"/>
    <w:semiHidden/>
    <w:locked/>
    <w:rsid w:val="00886F21"/>
    <w:rPr>
      <w:rFonts w:ascii="Courier New" w:hAnsi="Courier New" w:cs="Courier New"/>
      <w:sz w:val="20"/>
      <w:szCs w:val="20"/>
      <w:lang w:val="en-GB" w:eastAsia="en-US"/>
    </w:rPr>
  </w:style>
  <w:style w:type="paragraph" w:styleId="Aanhef">
    <w:name w:val="Salutation"/>
    <w:basedOn w:val="Standaard"/>
    <w:next w:val="Standaard"/>
    <w:link w:val="AanhefChar"/>
    <w:uiPriority w:val="99"/>
    <w:semiHidden/>
    <w:rsid w:val="0002265E"/>
  </w:style>
  <w:style w:type="character" w:customStyle="1" w:styleId="AanhefChar">
    <w:name w:val="Aanhef Char"/>
    <w:basedOn w:val="Standaardalinea-lettertype"/>
    <w:link w:val="Aanhef"/>
    <w:uiPriority w:val="99"/>
    <w:semiHidden/>
    <w:locked/>
    <w:rsid w:val="00886F21"/>
    <w:rPr>
      <w:rFonts w:ascii="Arial" w:hAnsi="Arial" w:cs="Times New Roman"/>
      <w:sz w:val="24"/>
      <w:szCs w:val="24"/>
      <w:lang w:val="en-GB" w:eastAsia="en-US"/>
    </w:rPr>
  </w:style>
  <w:style w:type="paragraph" w:styleId="Handtekening">
    <w:name w:val="Signature"/>
    <w:basedOn w:val="Standaard"/>
    <w:link w:val="HandtekeningChar"/>
    <w:uiPriority w:val="99"/>
    <w:semiHidden/>
    <w:rsid w:val="0002265E"/>
    <w:pPr>
      <w:ind w:left="4252"/>
    </w:pPr>
  </w:style>
  <w:style w:type="character" w:customStyle="1" w:styleId="HandtekeningChar">
    <w:name w:val="Handtekening Char"/>
    <w:basedOn w:val="Standaardalinea-lettertype"/>
    <w:link w:val="Handtekening"/>
    <w:uiPriority w:val="99"/>
    <w:semiHidden/>
    <w:locked/>
    <w:rsid w:val="00886F21"/>
    <w:rPr>
      <w:rFonts w:ascii="Arial" w:hAnsi="Arial" w:cs="Times New Roman"/>
      <w:sz w:val="24"/>
      <w:szCs w:val="24"/>
      <w:lang w:val="en-GB" w:eastAsia="en-US"/>
    </w:rPr>
  </w:style>
  <w:style w:type="character" w:styleId="Zwaar">
    <w:name w:val="Strong"/>
    <w:basedOn w:val="Standaardalinea-lettertype"/>
    <w:uiPriority w:val="99"/>
    <w:qFormat/>
    <w:rsid w:val="0002265E"/>
    <w:rPr>
      <w:rFonts w:cs="Times New Roman"/>
      <w:b/>
    </w:rPr>
  </w:style>
  <w:style w:type="paragraph" w:styleId="Bronvermelding">
    <w:name w:val="table of authorities"/>
    <w:basedOn w:val="Standaard"/>
    <w:next w:val="Standaard"/>
    <w:uiPriority w:val="99"/>
    <w:semiHidden/>
    <w:rsid w:val="0002265E"/>
    <w:pPr>
      <w:ind w:left="210" w:hanging="210"/>
    </w:pPr>
  </w:style>
  <w:style w:type="paragraph" w:styleId="Lijstmetafbeeldingen">
    <w:name w:val="table of figures"/>
    <w:basedOn w:val="Standaard"/>
    <w:next w:val="Standaard"/>
    <w:uiPriority w:val="99"/>
    <w:semiHidden/>
    <w:rsid w:val="0002265E"/>
    <w:pPr>
      <w:ind w:left="420" w:hanging="420"/>
    </w:pPr>
  </w:style>
  <w:style w:type="paragraph" w:styleId="Kopbronvermelding">
    <w:name w:val="toa heading"/>
    <w:basedOn w:val="Standaard"/>
    <w:next w:val="Standaard"/>
    <w:uiPriority w:val="99"/>
    <w:semiHidden/>
    <w:rsid w:val="0002265E"/>
    <w:pPr>
      <w:spacing w:before="120"/>
    </w:pPr>
    <w:rPr>
      <w:b/>
      <w:sz w:val="24"/>
    </w:rPr>
  </w:style>
  <w:style w:type="paragraph" w:styleId="Inhopg5">
    <w:name w:val="toc 5"/>
    <w:basedOn w:val="Standaard"/>
    <w:next w:val="Standaard"/>
    <w:autoRedefine/>
    <w:uiPriority w:val="99"/>
    <w:semiHidden/>
    <w:rsid w:val="0002265E"/>
    <w:pPr>
      <w:ind w:left="840"/>
    </w:pPr>
  </w:style>
  <w:style w:type="paragraph" w:styleId="Inhopg6">
    <w:name w:val="toc 6"/>
    <w:basedOn w:val="Standaard"/>
    <w:next w:val="Standaard"/>
    <w:autoRedefine/>
    <w:uiPriority w:val="99"/>
    <w:semiHidden/>
    <w:rsid w:val="0002265E"/>
    <w:pPr>
      <w:ind w:left="1050"/>
    </w:pPr>
  </w:style>
  <w:style w:type="paragraph" w:styleId="Inhopg7">
    <w:name w:val="toc 7"/>
    <w:basedOn w:val="Standaard"/>
    <w:next w:val="Standaard"/>
    <w:autoRedefine/>
    <w:uiPriority w:val="99"/>
    <w:semiHidden/>
    <w:rsid w:val="0002265E"/>
    <w:pPr>
      <w:ind w:left="1260"/>
    </w:pPr>
  </w:style>
  <w:style w:type="paragraph" w:styleId="Inhopg8">
    <w:name w:val="toc 8"/>
    <w:basedOn w:val="Standaard"/>
    <w:next w:val="Standaard"/>
    <w:autoRedefine/>
    <w:uiPriority w:val="99"/>
    <w:semiHidden/>
    <w:rsid w:val="0002265E"/>
    <w:pPr>
      <w:ind w:left="1470"/>
    </w:pPr>
  </w:style>
  <w:style w:type="paragraph" w:styleId="Inhopg9">
    <w:name w:val="toc 9"/>
    <w:basedOn w:val="Standaard"/>
    <w:next w:val="Standaard"/>
    <w:autoRedefine/>
    <w:uiPriority w:val="99"/>
    <w:semiHidden/>
    <w:rsid w:val="0002265E"/>
    <w:pPr>
      <w:ind w:left="1680"/>
    </w:pPr>
  </w:style>
  <w:style w:type="paragraph" w:customStyle="1" w:styleId="Centred">
    <w:name w:val="Centred"/>
    <w:basedOn w:val="Body"/>
    <w:next w:val="Body1"/>
    <w:uiPriority w:val="99"/>
    <w:rsid w:val="0002265E"/>
    <w:pPr>
      <w:keepNext/>
      <w:jc w:val="center"/>
    </w:pPr>
  </w:style>
  <w:style w:type="paragraph" w:customStyle="1" w:styleId="Parties">
    <w:name w:val="Parties"/>
    <w:basedOn w:val="Body"/>
    <w:next w:val="Body2"/>
    <w:uiPriority w:val="99"/>
    <w:rsid w:val="0002265E"/>
    <w:pPr>
      <w:numPr>
        <w:numId w:val="45"/>
      </w:numPr>
    </w:pPr>
  </w:style>
  <w:style w:type="paragraph" w:customStyle="1" w:styleId="Recitals">
    <w:name w:val="Recitals"/>
    <w:basedOn w:val="Body"/>
    <w:next w:val="Body2"/>
    <w:uiPriority w:val="99"/>
    <w:rsid w:val="0002265E"/>
    <w:pPr>
      <w:numPr>
        <w:numId w:val="46"/>
      </w:numPr>
    </w:pPr>
  </w:style>
  <w:style w:type="paragraph" w:styleId="Ballontekst">
    <w:name w:val="Balloon Text"/>
    <w:basedOn w:val="Standaard"/>
    <w:link w:val="BallontekstChar"/>
    <w:uiPriority w:val="99"/>
    <w:semiHidden/>
    <w:rsid w:val="0002265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86F21"/>
    <w:rPr>
      <w:rFonts w:cs="Times New Roman"/>
      <w:sz w:val="2"/>
      <w:lang w:val="en-GB" w:eastAsia="en-US"/>
    </w:rPr>
  </w:style>
  <w:style w:type="paragraph" w:customStyle="1" w:styleId="bStandard15">
    <w:name w:val="b.Standard 15"/>
    <w:uiPriority w:val="99"/>
    <w:rsid w:val="00303163"/>
    <w:pPr>
      <w:spacing w:line="300" w:lineRule="atLeast"/>
    </w:pPr>
    <w:rPr>
      <w:rFonts w:ascii="Georgia" w:hAnsi="Georgia"/>
      <w:szCs w:val="24"/>
    </w:rPr>
  </w:style>
  <w:style w:type="paragraph" w:styleId="Revisie">
    <w:name w:val="Revision"/>
    <w:hidden/>
    <w:uiPriority w:val="99"/>
    <w:semiHidden/>
    <w:rsid w:val="00003EC2"/>
    <w:rPr>
      <w:rFonts w:ascii="Arial" w:hAnsi="Arial"/>
      <w:sz w:val="21"/>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vells\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6</Pages>
  <Words>3956</Words>
  <Characters>21760</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CJEU-Opinion 01/09: Analysis and Consequences</vt:lpstr>
    </vt:vector>
  </TitlesOfParts>
  <LinksUpToDate>false</LinksUpToDate>
  <CharactersWithSpaces>25665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CJEU-Opinion 01/09: Analysis and Consequences</dc:title>
  <dc:creator/>
  <cp:lastModifiedBy/>
  <cp:revision>1</cp:revision>
  <cp:lastPrinted>2011-04-04T12:11:00Z</cp:lastPrinted>
  <dcterms:created xsi:type="dcterms:W3CDTF">2016-02-01T13:16:00Z</dcterms:created>
  <dcterms:modified xsi:type="dcterms:W3CDTF">2016-02-01T13:16:00Z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-1</vt:lpwstr>
  </property>
  <property fmtid="{D5CDD505-2E9C-101B-9397-08002B2CF9AE}" pid="8" name="CUS_DocIDbchkCompanyName">
    <vt:lpwstr>0</vt:lpwstr>
  </property>
  <property fmtid="{D5CDD505-2E9C-101B-9397-08002B2CF9AE}" pid="9" name="CUS_DocIDbchkDocument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ies>
</file>